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5387B3" w14:textId="314CD5A7" w:rsidR="008E2DE9" w:rsidRPr="00DA12F7" w:rsidRDefault="008E2DE9" w:rsidP="008E2DE9">
      <w:pPr>
        <w:tabs>
          <w:tab w:val="right" w:pos="9630"/>
        </w:tabs>
        <w:spacing w:after="0"/>
      </w:pPr>
      <w:r w:rsidRPr="00DA12F7">
        <w:rPr>
          <w:rFonts w:ascii="Arial" w:hAnsi="Arial" w:cs="Arial"/>
          <w:b/>
          <w:sz w:val="24"/>
        </w:rPr>
        <w:t>3GPP TSG RAN WG1 #</w:t>
      </w:r>
      <w:r>
        <w:rPr>
          <w:rFonts w:ascii="Arial" w:hAnsi="Arial" w:cs="Arial"/>
          <w:b/>
          <w:sz w:val="24"/>
        </w:rPr>
        <w:t>90</w:t>
      </w:r>
      <w:r w:rsidRPr="00DA12F7">
        <w:rPr>
          <w:rFonts w:ascii="Arial" w:hAnsi="Arial" w:cs="Arial"/>
          <w:b/>
          <w:sz w:val="24"/>
        </w:rPr>
        <w:tab/>
        <w:t>R1-</w:t>
      </w:r>
      <w:r w:rsidR="00B83C05">
        <w:rPr>
          <w:rFonts w:ascii="Arial" w:hAnsi="Arial" w:cs="Arial"/>
          <w:b/>
          <w:sz w:val="24"/>
        </w:rPr>
        <w:t>1713463</w:t>
      </w:r>
    </w:p>
    <w:p w14:paraId="2389B878" w14:textId="77777777" w:rsidR="008E2DE9" w:rsidRPr="00DA12F7" w:rsidRDefault="008E2DE9" w:rsidP="008E2DE9">
      <w:pPr>
        <w:tabs>
          <w:tab w:val="right" w:pos="9630"/>
        </w:tabs>
        <w:spacing w:after="0"/>
        <w:rPr>
          <w:rFonts w:ascii="Arial" w:hAnsi="Arial" w:cs="Arial"/>
          <w:b/>
          <w:sz w:val="24"/>
          <w:szCs w:val="24"/>
        </w:rPr>
      </w:pPr>
      <w:r>
        <w:rPr>
          <w:rFonts w:ascii="Arial" w:hAnsi="Arial" w:cs="Arial"/>
          <w:b/>
          <w:sz w:val="24"/>
          <w:szCs w:val="24"/>
        </w:rPr>
        <w:t>Aug 21</w:t>
      </w:r>
      <w:r w:rsidRPr="00DD244A">
        <w:rPr>
          <w:rFonts w:ascii="Arial" w:hAnsi="Arial" w:cs="Arial"/>
          <w:b/>
          <w:sz w:val="24"/>
          <w:szCs w:val="24"/>
          <w:vertAlign w:val="superscript"/>
        </w:rPr>
        <w:t>st</w:t>
      </w:r>
      <w:r>
        <w:rPr>
          <w:rFonts w:ascii="Arial" w:hAnsi="Arial" w:cs="Arial"/>
          <w:b/>
          <w:sz w:val="24"/>
          <w:szCs w:val="24"/>
        </w:rPr>
        <w:t xml:space="preserve"> – 25</w:t>
      </w:r>
      <w:r w:rsidRPr="00DA12F7">
        <w:rPr>
          <w:rFonts w:ascii="Arial" w:hAnsi="Arial" w:cs="Arial"/>
          <w:b/>
          <w:sz w:val="24"/>
          <w:szCs w:val="24"/>
          <w:vertAlign w:val="superscript"/>
        </w:rPr>
        <w:t>th</w:t>
      </w:r>
      <w:r w:rsidRPr="00DA12F7">
        <w:rPr>
          <w:rFonts w:ascii="Arial" w:hAnsi="Arial" w:cs="Arial"/>
          <w:b/>
          <w:sz w:val="24"/>
          <w:szCs w:val="24"/>
        </w:rPr>
        <w:t>, 201</w:t>
      </w:r>
      <w:r>
        <w:rPr>
          <w:rFonts w:ascii="Arial" w:hAnsi="Arial" w:cs="Arial"/>
          <w:b/>
          <w:sz w:val="24"/>
          <w:szCs w:val="24"/>
        </w:rPr>
        <w:t>7</w:t>
      </w:r>
    </w:p>
    <w:p w14:paraId="2BA05404" w14:textId="77777777" w:rsidR="008E2DE9" w:rsidRDefault="008E2DE9" w:rsidP="008E2DE9">
      <w:pPr>
        <w:pStyle w:val="Title"/>
        <w:tabs>
          <w:tab w:val="left" w:pos="709"/>
          <w:tab w:val="right" w:pos="9639"/>
        </w:tabs>
        <w:wordWrap w:val="0"/>
        <w:spacing w:after="0"/>
        <w:ind w:right="120"/>
        <w:jc w:val="left"/>
        <w:rPr>
          <w:rFonts w:cs="Arial"/>
          <w:szCs w:val="24"/>
        </w:rPr>
      </w:pPr>
      <w:r>
        <w:rPr>
          <w:rFonts w:cs="Arial"/>
          <w:szCs w:val="24"/>
        </w:rPr>
        <w:t xml:space="preserve">Prague, </w:t>
      </w:r>
      <w:r w:rsidRPr="00DD244A">
        <w:rPr>
          <w:rFonts w:cs="Arial"/>
          <w:szCs w:val="24"/>
        </w:rPr>
        <w:t>Czech Republic</w:t>
      </w:r>
    </w:p>
    <w:p w14:paraId="49F194EA" w14:textId="0345E64A" w:rsidR="00E725B6" w:rsidRPr="00E624D8" w:rsidRDefault="00E725B6" w:rsidP="008E2DE9">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7456F237"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0" w:name="Source"/>
      <w:bookmarkEnd w:id="0"/>
      <w:r w:rsidR="006C7D80" w:rsidRPr="00E624D8">
        <w:rPr>
          <w:rFonts w:ascii="Arial" w:hAnsi="Arial"/>
          <w:sz w:val="24"/>
        </w:rPr>
        <w:tab/>
      </w:r>
      <w:r w:rsidR="008E2DE9">
        <w:rPr>
          <w:rFonts w:ascii="Arial" w:hAnsi="Arial"/>
          <w:sz w:val="24"/>
        </w:rPr>
        <w:t>6.1.4.1.6</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2E64D7B5"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E73758" w:rsidRPr="00E73758">
        <w:rPr>
          <w:rFonts w:ascii="Arial" w:hAnsi="Arial"/>
          <w:sz w:val="24"/>
        </w:rPr>
        <w:t>LDPC base graph determination and indication</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19D84970" w14:textId="23D45FE8" w:rsidR="00491EEE" w:rsidRDefault="00FD6A3D" w:rsidP="00491EEE">
      <w:pPr>
        <w:pStyle w:val="Heading1"/>
      </w:pPr>
      <w:r w:rsidRPr="00CC27F5">
        <w:t>1</w:t>
      </w:r>
      <w:r w:rsidRPr="00CC27F5">
        <w:tab/>
      </w:r>
      <w:r w:rsidR="00B209B5" w:rsidRPr="00CC27F5">
        <w:t>Introduction</w:t>
      </w:r>
    </w:p>
    <w:p w14:paraId="25701522" w14:textId="08D95391" w:rsidR="00093582" w:rsidRPr="00093582" w:rsidRDefault="00093582" w:rsidP="00093582">
      <w:pPr>
        <w:rPr>
          <w:lang w:val="en-GB"/>
        </w:rPr>
      </w:pPr>
      <w:r>
        <w:rPr>
          <w:lang w:val="en-GB"/>
        </w:rPr>
        <w:t xml:space="preserve">In </w:t>
      </w:r>
      <w:r w:rsidR="00E73758">
        <w:rPr>
          <w:lang w:val="en-GB"/>
        </w:rPr>
        <w:t>RAN1 NR Adhoc #2</w:t>
      </w:r>
      <w:r>
        <w:rPr>
          <w:lang w:val="en-GB"/>
        </w:rPr>
        <w:t>, the following agreement</w:t>
      </w:r>
      <w:r w:rsidR="004A70E3">
        <w:rPr>
          <w:lang w:val="en-GB"/>
        </w:rPr>
        <w:t>s</w:t>
      </w:r>
      <w:r>
        <w:rPr>
          <w:lang w:val="en-GB"/>
        </w:rPr>
        <w:t xml:space="preserve"> </w:t>
      </w:r>
      <w:r w:rsidR="004A70E3">
        <w:rPr>
          <w:lang w:val="en-GB"/>
        </w:rPr>
        <w:t>were</w:t>
      </w:r>
      <w:r>
        <w:rPr>
          <w:lang w:val="en-GB"/>
        </w:rPr>
        <w:t xml:space="preserve"> </w:t>
      </w:r>
      <w:r w:rsidR="00DA1E0F">
        <w:rPr>
          <w:lang w:val="en-GB"/>
        </w:rPr>
        <w:t>made</w:t>
      </w:r>
    </w:p>
    <w:p w14:paraId="74D96D97" w14:textId="77777777" w:rsidR="00E73758" w:rsidRPr="00B4792E" w:rsidRDefault="00E73758" w:rsidP="00E73758">
      <w:pPr>
        <w:rPr>
          <w:rFonts w:eastAsia="MS Mincho"/>
          <w:highlight w:val="green"/>
          <w:lang w:eastAsia="ja-JP"/>
        </w:rPr>
      </w:pPr>
      <w:r w:rsidRPr="00B4792E">
        <w:rPr>
          <w:rFonts w:eastAsia="MS Mincho"/>
          <w:b/>
          <w:highlight w:val="green"/>
          <w:u w:val="single"/>
          <w:lang w:eastAsia="ja-JP"/>
        </w:rPr>
        <w:t>Agreement:</w:t>
      </w:r>
    </w:p>
    <w:p w14:paraId="544E24B4" w14:textId="77777777" w:rsidR="00E73758" w:rsidRPr="002A3C3E" w:rsidRDefault="00E73758" w:rsidP="00E73758">
      <w:pPr>
        <w:numPr>
          <w:ilvl w:val="0"/>
          <w:numId w:val="8"/>
        </w:numPr>
        <w:overflowPunct/>
        <w:autoSpaceDE/>
        <w:autoSpaceDN/>
        <w:adjustRightInd/>
        <w:spacing w:after="0"/>
        <w:textAlignment w:val="auto"/>
        <w:rPr>
          <w:rFonts w:eastAsia="MS Mincho"/>
          <w:lang w:eastAsia="ja-JP"/>
        </w:rPr>
      </w:pPr>
      <w:r w:rsidRPr="002A3C3E">
        <w:rPr>
          <w:rFonts w:eastAsia="MS Mincho"/>
          <w:lang w:eastAsia="ja-JP"/>
        </w:rPr>
        <w:t xml:space="preserve">Base graph #1 is </w:t>
      </w:r>
      <w:r>
        <w:rPr>
          <w:rFonts w:eastAsia="MS Mincho"/>
          <w:lang w:eastAsia="ja-JP"/>
        </w:rPr>
        <w:t>used</w:t>
      </w:r>
      <w:r w:rsidRPr="002A3C3E">
        <w:rPr>
          <w:rFonts w:eastAsia="MS Mincho"/>
          <w:lang w:eastAsia="ja-JP"/>
        </w:rPr>
        <w:t xml:space="preserve"> </w:t>
      </w:r>
      <w:r>
        <w:rPr>
          <w:rFonts w:eastAsia="MS Mincho"/>
          <w:lang w:eastAsia="ja-JP"/>
        </w:rPr>
        <w:t xml:space="preserve">for the initial transmission and subsequent re-transmissions of the same TB </w:t>
      </w:r>
      <w:r w:rsidRPr="002A3C3E">
        <w:rPr>
          <w:rFonts w:eastAsia="MS Mincho"/>
          <w:lang w:eastAsia="ja-JP"/>
        </w:rPr>
        <w:t>when</w:t>
      </w:r>
    </w:p>
    <w:p w14:paraId="54E2E821" w14:textId="77777777" w:rsidR="00E73758" w:rsidRPr="002A3C3E" w:rsidRDefault="00E73758" w:rsidP="00E73758">
      <w:pPr>
        <w:numPr>
          <w:ilvl w:val="1"/>
          <w:numId w:val="8"/>
        </w:numPr>
        <w:overflowPunct/>
        <w:autoSpaceDE/>
        <w:autoSpaceDN/>
        <w:adjustRightInd/>
        <w:spacing w:after="0"/>
        <w:textAlignment w:val="auto"/>
        <w:rPr>
          <w:rFonts w:eastAsia="MS Mincho"/>
          <w:lang w:eastAsia="ja-JP"/>
        </w:rPr>
      </w:pPr>
      <w:r w:rsidRPr="002A3C3E">
        <w:rPr>
          <w:rFonts w:eastAsia="MS Mincho"/>
          <w:lang w:eastAsia="ja-JP"/>
        </w:rPr>
        <w:t xml:space="preserve">CBS &gt; X or code rate </w:t>
      </w:r>
      <w:r>
        <w:rPr>
          <w:rFonts w:eastAsia="MS Mincho"/>
          <w:lang w:eastAsia="ja-JP"/>
        </w:rPr>
        <w:t xml:space="preserve">of the initial transmission </w:t>
      </w:r>
      <w:r w:rsidRPr="002A3C3E">
        <w:rPr>
          <w:rFonts w:eastAsia="MS Mincho"/>
          <w:lang w:eastAsia="ja-JP"/>
        </w:rPr>
        <w:t>&gt; Y</w:t>
      </w:r>
    </w:p>
    <w:p w14:paraId="1FF0128E" w14:textId="77777777" w:rsidR="00E73758" w:rsidRPr="002A3C3E" w:rsidRDefault="00E73758" w:rsidP="00E73758">
      <w:pPr>
        <w:numPr>
          <w:ilvl w:val="0"/>
          <w:numId w:val="8"/>
        </w:numPr>
        <w:overflowPunct/>
        <w:autoSpaceDE/>
        <w:autoSpaceDN/>
        <w:adjustRightInd/>
        <w:spacing w:after="0"/>
        <w:textAlignment w:val="auto"/>
        <w:rPr>
          <w:rFonts w:eastAsia="MS Mincho"/>
          <w:lang w:eastAsia="ja-JP"/>
        </w:rPr>
      </w:pPr>
      <w:r w:rsidRPr="002A3C3E">
        <w:rPr>
          <w:rFonts w:eastAsia="MS Mincho"/>
          <w:lang w:eastAsia="ja-JP"/>
        </w:rPr>
        <w:t xml:space="preserve">Base graph #2 is </w:t>
      </w:r>
      <w:r>
        <w:rPr>
          <w:rFonts w:eastAsia="MS Mincho"/>
          <w:lang w:eastAsia="ja-JP"/>
        </w:rPr>
        <w:t>used</w:t>
      </w:r>
      <w:r w:rsidRPr="002A3C3E">
        <w:rPr>
          <w:rFonts w:eastAsia="MS Mincho"/>
          <w:lang w:eastAsia="ja-JP"/>
        </w:rPr>
        <w:t xml:space="preserve"> </w:t>
      </w:r>
      <w:r>
        <w:rPr>
          <w:rFonts w:eastAsia="MS Mincho"/>
          <w:lang w:eastAsia="ja-JP"/>
        </w:rPr>
        <w:t xml:space="preserve">for the initial transmission and subsequent re-transmissions of the same TB </w:t>
      </w:r>
      <w:r w:rsidRPr="002A3C3E">
        <w:rPr>
          <w:rFonts w:eastAsia="MS Mincho"/>
          <w:lang w:eastAsia="ja-JP"/>
        </w:rPr>
        <w:t>when</w:t>
      </w:r>
    </w:p>
    <w:p w14:paraId="58049FE3" w14:textId="77777777" w:rsidR="00E73758" w:rsidRPr="002A3C3E" w:rsidRDefault="00E73758" w:rsidP="00E73758">
      <w:pPr>
        <w:numPr>
          <w:ilvl w:val="1"/>
          <w:numId w:val="8"/>
        </w:numPr>
        <w:overflowPunct/>
        <w:autoSpaceDE/>
        <w:autoSpaceDN/>
        <w:adjustRightInd/>
        <w:spacing w:after="0"/>
        <w:textAlignment w:val="auto"/>
        <w:rPr>
          <w:rFonts w:eastAsia="MS Mincho"/>
          <w:lang w:eastAsia="ja-JP"/>
        </w:rPr>
      </w:pPr>
      <w:r w:rsidRPr="002A3C3E">
        <w:rPr>
          <w:rFonts w:eastAsia="MS Mincho"/>
          <w:lang w:eastAsia="ja-JP"/>
        </w:rPr>
        <w:t xml:space="preserve">CBS &lt;= X and code rate </w:t>
      </w:r>
      <w:r>
        <w:rPr>
          <w:rFonts w:eastAsia="MS Mincho"/>
          <w:lang w:eastAsia="ja-JP"/>
        </w:rPr>
        <w:t xml:space="preserve">of the initial transmission </w:t>
      </w:r>
      <w:r w:rsidRPr="002A3C3E">
        <w:rPr>
          <w:rFonts w:eastAsia="MS Mincho"/>
          <w:lang w:eastAsia="ja-JP"/>
        </w:rPr>
        <w:t>&lt;= Y</w:t>
      </w:r>
    </w:p>
    <w:p w14:paraId="44769A30" w14:textId="77777777" w:rsidR="00E73758" w:rsidRPr="002A3C3E" w:rsidRDefault="00E73758" w:rsidP="00E73758">
      <w:pPr>
        <w:numPr>
          <w:ilvl w:val="0"/>
          <w:numId w:val="8"/>
        </w:numPr>
        <w:overflowPunct/>
        <w:autoSpaceDE/>
        <w:autoSpaceDN/>
        <w:adjustRightInd/>
        <w:spacing w:after="0"/>
        <w:textAlignment w:val="auto"/>
        <w:rPr>
          <w:rFonts w:eastAsia="MS Mincho"/>
          <w:lang w:eastAsia="ja-JP"/>
        </w:rPr>
      </w:pPr>
      <w:r w:rsidRPr="00006367">
        <w:rPr>
          <w:rFonts w:eastAsia="MS Mincho"/>
          <w:highlight w:val="darkYellow"/>
          <w:lang w:eastAsia="ja-JP"/>
        </w:rPr>
        <w:t xml:space="preserve">Working assumption </w:t>
      </w:r>
      <w:r>
        <w:rPr>
          <w:rFonts w:eastAsia="MS Mincho"/>
          <w:lang w:eastAsia="ja-JP"/>
        </w:rPr>
        <w:t xml:space="preserve">: </w:t>
      </w:r>
      <w:r w:rsidRPr="002A3C3E">
        <w:rPr>
          <w:rFonts w:eastAsia="MS Mincho"/>
          <w:lang w:eastAsia="ja-JP"/>
        </w:rPr>
        <w:t>X = 2560 and Y = 0.67</w:t>
      </w:r>
    </w:p>
    <w:p w14:paraId="1505EB4C" w14:textId="77777777" w:rsidR="00E73758" w:rsidRPr="002A3C3E" w:rsidRDefault="00E73758" w:rsidP="00E73758">
      <w:pPr>
        <w:numPr>
          <w:ilvl w:val="1"/>
          <w:numId w:val="8"/>
        </w:numPr>
        <w:overflowPunct/>
        <w:autoSpaceDE/>
        <w:autoSpaceDN/>
        <w:adjustRightInd/>
        <w:spacing w:after="0"/>
        <w:textAlignment w:val="auto"/>
        <w:rPr>
          <w:rFonts w:eastAsia="MS Mincho"/>
          <w:lang w:eastAsia="ja-JP"/>
        </w:rPr>
      </w:pPr>
      <w:r w:rsidRPr="002A3C3E">
        <w:rPr>
          <w:rFonts w:eastAsia="MS Mincho"/>
          <w:lang w:eastAsia="ja-JP"/>
        </w:rPr>
        <w:t>FFS after PCM decisions if X can be extended to 3840 and/or Y can be extended to 0.75</w:t>
      </w:r>
    </w:p>
    <w:p w14:paraId="1F207D81" w14:textId="77777777" w:rsidR="00E73758" w:rsidRDefault="00E73758" w:rsidP="00E73758">
      <w:pPr>
        <w:rPr>
          <w:rFonts w:eastAsia="MS Mincho"/>
          <w:lang w:eastAsia="ja-JP"/>
        </w:rPr>
      </w:pPr>
      <w:r>
        <w:rPr>
          <w:rFonts w:eastAsia="MS Mincho"/>
          <w:lang w:eastAsia="ja-JP"/>
        </w:rPr>
        <w:t xml:space="preserve">To be checked how the receiver knows in each case the code rate of the initial transmission, and how exactly it is defined. </w:t>
      </w:r>
    </w:p>
    <w:p w14:paraId="3C7B8EDC" w14:textId="77777777" w:rsidR="00E73758" w:rsidRDefault="00E73758" w:rsidP="00E73758">
      <w:pPr>
        <w:rPr>
          <w:rFonts w:eastAsia="MS Mincho"/>
          <w:lang w:eastAsia="ja-JP"/>
        </w:rPr>
      </w:pPr>
      <w:r>
        <w:rPr>
          <w:rFonts w:eastAsia="MS Mincho"/>
          <w:lang w:eastAsia="ja-JP"/>
        </w:rPr>
        <w:t xml:space="preserve">FFS whether some UE capabilities may be possible that do not require the implementation of both base graphs. </w:t>
      </w:r>
    </w:p>
    <w:p w14:paraId="6A6FD7D7" w14:textId="77777777" w:rsidR="00B83C05" w:rsidRDefault="009376D9" w:rsidP="00E73758">
      <w:r>
        <w:t>In this agreement, the base graph is decided by code block size and coding rate</w:t>
      </w:r>
      <w:r w:rsidR="00B83C05">
        <w:t xml:space="preserve"> of the initial transmission of the TB</w:t>
      </w:r>
      <w:r>
        <w:t xml:space="preserve">. For small transport block sizes, there will be only one code block per transport block. Therefore the base graph is decided by the transport block size and coding rate. </w:t>
      </w:r>
      <w:r w:rsidR="00B83C05">
        <w:t>Obviously the base graph for a TB is not changed for the retransmissions of the same TB.</w:t>
      </w:r>
    </w:p>
    <w:p w14:paraId="05E8BCAC" w14:textId="00206488" w:rsidR="009376D9" w:rsidRDefault="00F366B0" w:rsidP="00F366B0">
      <w:r>
        <w:t xml:space="preserve">In this contribution, we further discuss the mechanism to determine which of the two base graphs is used and how it is indicated to the UE. To determine base graph, we need to know the </w:t>
      </w:r>
      <w:r w:rsidR="009376D9">
        <w:t>tr</w:t>
      </w:r>
      <w:r>
        <w:t xml:space="preserve">ansport block size, and coding rate for the initial transmission. The transport block size determination is discussed in Section 2. </w:t>
      </w:r>
      <w:r w:rsidR="004D3A27">
        <w:t xml:space="preserve">How to define a nominal </w:t>
      </w:r>
      <w:r>
        <w:t>coding rate used for base graph determination is discussed in Section 3.</w:t>
      </w:r>
      <w:r w:rsidR="004D3A27">
        <w:t xml:space="preserve"> I</w:t>
      </w:r>
      <w:r>
        <w:t xml:space="preserve">n Section 4, </w:t>
      </w:r>
      <w:r w:rsidR="009376D9">
        <w:t xml:space="preserve">we </w:t>
      </w:r>
      <w:r w:rsidR="004D3A27">
        <w:t>further</w:t>
      </w:r>
      <w:r w:rsidR="009376D9">
        <w:t xml:space="preserve"> discuss how the b</w:t>
      </w:r>
      <w:r>
        <w:t xml:space="preserve">ase graph </w:t>
      </w:r>
      <w:r w:rsidR="004D3A27">
        <w:t>is determined from the TBS and nominal coding rate and how the decision is</w:t>
      </w:r>
      <w:r>
        <w:t xml:space="preserve"> indicated</w:t>
      </w:r>
      <w:r w:rsidR="004D3A27">
        <w:t xml:space="preserve"> to the UE robustly.</w:t>
      </w:r>
    </w:p>
    <w:p w14:paraId="2EC6402A" w14:textId="7F173F50" w:rsidR="009376D9" w:rsidRDefault="00B83C05" w:rsidP="00B83C05">
      <w:pPr>
        <w:pStyle w:val="Heading1"/>
      </w:pPr>
      <w:r>
        <w:t>2</w:t>
      </w:r>
      <w:r w:rsidR="009376D9">
        <w:tab/>
        <w:t>Transport block size determination</w:t>
      </w:r>
    </w:p>
    <w:p w14:paraId="2C049CF0" w14:textId="76E17181" w:rsidR="00E73758" w:rsidRDefault="00E73758" w:rsidP="00E73758">
      <w:pPr>
        <w:rPr>
          <w:lang w:val="en-GB"/>
        </w:rPr>
      </w:pPr>
      <w:r>
        <w:rPr>
          <w:lang w:val="en-GB"/>
        </w:rPr>
        <w:t xml:space="preserve">In LTE, the transport block size depends on the MCS, the rank and the number of RBs allocated. A look up table based approached is used to find TBS using these parameters. </w:t>
      </w:r>
    </w:p>
    <w:p w14:paraId="3E4C83FD" w14:textId="33FD0787" w:rsidR="003D6B5B" w:rsidRDefault="003D6B5B" w:rsidP="00E73758">
      <w:pPr>
        <w:rPr>
          <w:lang w:val="en-GB"/>
        </w:rPr>
      </w:pPr>
      <w:r>
        <w:rPr>
          <w:lang w:val="en-GB"/>
        </w:rPr>
        <w:t>In NR, there are more flexibility in resource allocation. There can be mini-slot based transmission where the number of OFDM symbols in the transmission can be 1 to 13. There can be slot bundling where a TB can be transmitted over multiple slots. Even in slot based transmission, there is mechanism that allows the starting and ending symbols for the transmission to be configured or dynamically indicated. Additonally, PDCCH resource reuse for PDSCH can be supported, if the PDCCH resource is not used for control transmission. As a result, the LTE approach may not be flexible enough to handle all these cases, and it may create coding rate variation under different resource usage.</w:t>
      </w:r>
    </w:p>
    <w:p w14:paraId="0D168968" w14:textId="76E19533" w:rsidR="003D6B5B" w:rsidRDefault="003D6B5B" w:rsidP="00E73758">
      <w:pPr>
        <w:rPr>
          <w:lang w:val="en-GB"/>
        </w:rPr>
      </w:pPr>
      <w:r>
        <w:rPr>
          <w:lang w:val="en-GB"/>
        </w:rPr>
        <w:t xml:space="preserve">In later phase of LTE, in the case that the number of OFDM symbol in the transmission is substantially smaller than the normal number of OFDM symbols in a subframe, such as PDSCH in DwPTS, PUSCH in UpPTS, and sTTI, TBS </w:t>
      </w:r>
      <w:r w:rsidR="00BD0F87">
        <w:rPr>
          <w:lang w:val="en-GB"/>
        </w:rPr>
        <w:t>scaling mechanism was introduced. The scaling factor is selected/designed as a function of the number of OFDM symbols used, and the s</w:t>
      </w:r>
      <w:r>
        <w:rPr>
          <w:lang w:val="en-GB"/>
        </w:rPr>
        <w:t>caling</w:t>
      </w:r>
      <w:r w:rsidR="00BD0F87">
        <w:rPr>
          <w:lang w:val="en-GB"/>
        </w:rPr>
        <w:t xml:space="preserve"> is applied to the </w:t>
      </w:r>
      <w:r>
        <w:rPr>
          <w:lang w:val="en-GB"/>
        </w:rPr>
        <w:t xml:space="preserve">number of RBs </w:t>
      </w:r>
      <w:r w:rsidR="00BD0F87">
        <w:rPr>
          <w:lang w:val="en-GB"/>
        </w:rPr>
        <w:t>allocated to come up with a nominal number of RBs, with rounding. The nominal number of RBs is used to</w:t>
      </w:r>
      <w:r>
        <w:rPr>
          <w:lang w:val="en-GB"/>
        </w:rPr>
        <w:t xml:space="preserve"> look up the same </w:t>
      </w:r>
      <w:r w:rsidR="00BD0F87">
        <w:rPr>
          <w:lang w:val="en-GB"/>
        </w:rPr>
        <w:t>TBS table to identify TBS. We can extend this mechanism to define the nominal number of RBs concept for NR for TBS determination.</w:t>
      </w:r>
    </w:p>
    <w:p w14:paraId="4725BD1D" w14:textId="0CE995FD" w:rsidR="00BD0F87" w:rsidRDefault="00BD0F87" w:rsidP="00E73758">
      <w:pPr>
        <w:rPr>
          <w:lang w:val="en-GB"/>
        </w:rPr>
      </w:pPr>
      <w:r>
        <w:rPr>
          <w:lang w:val="en-GB"/>
        </w:rPr>
        <w:lastRenderedPageBreak/>
        <w:t>In the grant, the rank and the resource allocation will be indicated. In RRC configuration and possible together with dynamic indication in the DCI, the starting and ending OFDM symbol of the transmission will be known as well. We can consider these are the nominal set of modulation symbols in the transmission:</w:t>
      </w:r>
    </w:p>
    <w:p w14:paraId="782BCD85" w14:textId="28360F62" w:rsidR="00BD0F87" w:rsidRDefault="00BD0F87" w:rsidP="00BD0F87">
      <w:pPr>
        <w:jc w:val="center"/>
        <w:rPr>
          <w:lang w:val="en-GB"/>
        </w:rPr>
      </w:pPr>
      <w:r>
        <w:rPr>
          <w:lang w:val="en-GB"/>
        </w:rPr>
        <w:t xml:space="preserve">Nominal # of </w:t>
      </w:r>
      <w:r w:rsidR="00587E54">
        <w:rPr>
          <w:lang w:val="en-GB"/>
        </w:rPr>
        <w:t>resource elements</w:t>
      </w:r>
      <w:r>
        <w:rPr>
          <w:lang w:val="en-GB"/>
        </w:rPr>
        <w:t xml:space="preserve"> = (# of RB) x (12</w:t>
      </w:r>
      <w:r w:rsidR="00587E54">
        <w:rPr>
          <w:lang w:val="en-GB"/>
        </w:rPr>
        <w:t>) x (# of OFDM symbols)</w:t>
      </w:r>
    </w:p>
    <w:p w14:paraId="70C4E3D1" w14:textId="77777777" w:rsidR="00587E54" w:rsidRDefault="00587E54" w:rsidP="00587E54">
      <w:pPr>
        <w:rPr>
          <w:lang w:val="en-GB"/>
        </w:rPr>
      </w:pPr>
      <w:r>
        <w:rPr>
          <w:lang w:val="en-GB"/>
        </w:rPr>
        <w:t xml:space="preserve">Note that for the nominal # of resource elements computation, we didn’t consider </w:t>
      </w:r>
    </w:p>
    <w:p w14:paraId="3440CF64" w14:textId="3B2B0184" w:rsidR="00587E54" w:rsidRDefault="00587E54" w:rsidP="00B25CA2">
      <w:pPr>
        <w:pStyle w:val="bullet"/>
      </w:pPr>
      <w:r>
        <w:t>R</w:t>
      </w:r>
      <w:r w:rsidRPr="00587E54">
        <w:t xml:space="preserve">ate matching </w:t>
      </w:r>
      <w:r>
        <w:t>f</w:t>
      </w:r>
      <w:r w:rsidR="00F16C78">
        <w:t>or different RS</w:t>
      </w:r>
    </w:p>
    <w:p w14:paraId="2BA03CE4" w14:textId="6FAEA8A2" w:rsidR="00587E54" w:rsidRDefault="00587E54" w:rsidP="00587E54">
      <w:pPr>
        <w:pStyle w:val="bullet"/>
      </w:pPr>
      <w:r w:rsidRPr="00587E54">
        <w:t xml:space="preserve">Rate matching for </w:t>
      </w:r>
      <w:r>
        <w:t>sync channe</w:t>
      </w:r>
      <w:r w:rsidR="00F16C78">
        <w:t>l transmission</w:t>
      </w:r>
    </w:p>
    <w:p w14:paraId="1A8844CB" w14:textId="1A658051" w:rsidR="00F16C78" w:rsidRPr="00587E54" w:rsidRDefault="00F16C78" w:rsidP="00587E54">
      <w:pPr>
        <w:pStyle w:val="bullet"/>
      </w:pPr>
      <w:r>
        <w:t>Additional resource can be used from PDCCH resource reuse</w:t>
      </w:r>
    </w:p>
    <w:p w14:paraId="12E3D14B" w14:textId="1F3DD115" w:rsidR="00587E54" w:rsidRDefault="00F16C78" w:rsidP="00E73758">
      <w:pPr>
        <w:rPr>
          <w:lang w:val="en-GB"/>
        </w:rPr>
      </w:pPr>
      <w:r>
        <w:rPr>
          <w:lang w:val="en-GB"/>
        </w:rPr>
        <w:t>The existence of these rate matching resources or additional resources are quite dynamic and will be hard to capture. However, if there are semi-static reserved resources within the allocated resources for the UE, these may be excluded.</w:t>
      </w:r>
    </w:p>
    <w:p w14:paraId="67BFC94E" w14:textId="3BDA1597" w:rsidR="00587E54" w:rsidRDefault="00587E54" w:rsidP="00E73758">
      <w:pPr>
        <w:rPr>
          <w:lang w:val="en-GB"/>
        </w:rPr>
      </w:pPr>
      <w:r>
        <w:rPr>
          <w:lang w:val="en-GB"/>
        </w:rPr>
        <w:t>Given the nominal number of resource elements, we can further compute the nominal number of modulation symbols:</w:t>
      </w:r>
    </w:p>
    <w:p w14:paraId="387B2523" w14:textId="3203428A" w:rsidR="00587E54" w:rsidRDefault="00587E54" w:rsidP="00587E54">
      <w:pPr>
        <w:jc w:val="center"/>
        <w:rPr>
          <w:lang w:val="en-GB"/>
        </w:rPr>
      </w:pPr>
      <w:r>
        <w:rPr>
          <w:lang w:val="en-GB"/>
        </w:rPr>
        <w:t>Nominal # of modulation symbols = (Nominal # of resource elements) x (Rank)</w:t>
      </w:r>
    </w:p>
    <w:p w14:paraId="346220B0" w14:textId="1F90D90F" w:rsidR="00BD0F87" w:rsidRDefault="00BD0F87" w:rsidP="00E73758">
      <w:pPr>
        <w:rPr>
          <w:lang w:val="en-GB"/>
        </w:rPr>
      </w:pPr>
      <w:r>
        <w:rPr>
          <w:lang w:val="en-GB"/>
        </w:rPr>
        <w:t>To further compute the nominal number of RBs, we will need to define a nominal RB size. For example:</w:t>
      </w:r>
    </w:p>
    <w:p w14:paraId="732D9040" w14:textId="5EB347E6" w:rsidR="00BD0F87" w:rsidRDefault="00BD0F87" w:rsidP="00BD0F87">
      <w:pPr>
        <w:jc w:val="center"/>
        <w:rPr>
          <w:lang w:val="en-GB"/>
        </w:rPr>
      </w:pPr>
      <w:r>
        <w:rPr>
          <w:lang w:val="en-GB"/>
        </w:rPr>
        <w:t>Nominal RB size = 144</w:t>
      </w:r>
    </w:p>
    <w:p w14:paraId="1EDA3D24" w14:textId="38C80743" w:rsidR="00BD0F87" w:rsidRDefault="00BD0F87" w:rsidP="00E73758">
      <w:pPr>
        <w:rPr>
          <w:lang w:val="en-GB"/>
        </w:rPr>
      </w:pPr>
      <w:r>
        <w:rPr>
          <w:lang w:val="en-GB"/>
        </w:rPr>
        <w:t xml:space="preserve">Then the nominal number of RBs can be defined as </w:t>
      </w:r>
    </w:p>
    <w:p w14:paraId="6CCB7279" w14:textId="491D1078" w:rsidR="00587E54" w:rsidRDefault="00587E54" w:rsidP="00587E54">
      <w:pPr>
        <w:jc w:val="center"/>
        <w:rPr>
          <w:lang w:val="en-GB"/>
        </w:rPr>
      </w:pPr>
      <w:r>
        <w:rPr>
          <w:lang w:val="en-GB"/>
        </w:rPr>
        <w:t>Nominal # of RBs = ceiling( (Nominal # of modulation symbols) / (Nominal RB size) )</w:t>
      </w:r>
    </w:p>
    <w:p w14:paraId="47962C30" w14:textId="6607792F" w:rsidR="00587E54" w:rsidRDefault="00587E54" w:rsidP="00E73758">
      <w:pPr>
        <w:rPr>
          <w:lang w:val="en-GB"/>
        </w:rPr>
      </w:pPr>
      <w:r>
        <w:rPr>
          <w:lang w:val="en-GB"/>
        </w:rPr>
        <w:t>Note this nominal number of RBs definition already include the number of spatial layers information.</w:t>
      </w:r>
    </w:p>
    <w:p w14:paraId="47C0E4C7" w14:textId="13498DBA" w:rsidR="00F16C78" w:rsidRDefault="00F16C78" w:rsidP="00E73758">
      <w:pPr>
        <w:rPr>
          <w:lang w:val="en-GB"/>
        </w:rPr>
      </w:pPr>
      <w:r>
        <w:rPr>
          <w:lang w:val="en-GB"/>
        </w:rPr>
        <w:t>After we computed the nominal number of RBs, the TBS determination can be from a simple lookup table, together with MCS, as is done in LTE.</w:t>
      </w:r>
    </w:p>
    <w:p w14:paraId="07CEC71B" w14:textId="08FDD71D" w:rsidR="00F16C78" w:rsidRDefault="00F16C78" w:rsidP="00E73758">
      <w:pPr>
        <w:rPr>
          <w:lang w:val="en-GB"/>
        </w:rPr>
      </w:pPr>
      <w:r>
        <w:rPr>
          <w:lang w:val="en-GB"/>
        </w:rPr>
        <w:fldChar w:fldCharType="begin"/>
      </w:r>
      <w:r>
        <w:rPr>
          <w:lang w:val="en-GB"/>
        </w:rPr>
        <w:instrText xml:space="preserve"> REF p1 \h </w:instrText>
      </w:r>
      <w:r>
        <w:rPr>
          <w:lang w:val="en-GB"/>
        </w:rPr>
      </w:r>
      <w:r>
        <w:rPr>
          <w:lang w:val="en-GB"/>
        </w:rPr>
        <w:fldChar w:fldCharType="separate"/>
      </w:r>
      <w:r w:rsidR="00014262">
        <w:rPr>
          <w:b/>
          <w:lang w:val="en-GB"/>
        </w:rPr>
        <w:t xml:space="preserve">Proposal </w:t>
      </w:r>
      <w:r w:rsidR="00014262">
        <w:rPr>
          <w:b/>
          <w:noProof/>
          <w:lang w:val="en-GB"/>
        </w:rPr>
        <w:t>1</w:t>
      </w:r>
      <w:r w:rsidR="00014262" w:rsidRPr="00F16C78">
        <w:rPr>
          <w:b/>
          <w:lang w:val="en-GB"/>
        </w:rPr>
        <w:t>: Introduce nominal number of resource block size concept for transport block size determination.</w:t>
      </w:r>
      <w:r>
        <w:rPr>
          <w:lang w:val="en-GB"/>
        </w:rPr>
        <w:fldChar w:fldCharType="end"/>
      </w:r>
    </w:p>
    <w:p w14:paraId="27890D46" w14:textId="551AA96A" w:rsidR="000F2FBA" w:rsidRDefault="000F2FBA" w:rsidP="000F2FBA">
      <w:r>
        <w:t>More details of TBS determination is provided in a companion paper [</w:t>
      </w:r>
      <w:r w:rsidR="00B9171E">
        <w:t>1].</w:t>
      </w:r>
    </w:p>
    <w:p w14:paraId="5E2E6E7A" w14:textId="453BF093" w:rsidR="00F366B0" w:rsidRDefault="00F366B0" w:rsidP="00F366B0">
      <w:pPr>
        <w:pStyle w:val="Heading1"/>
      </w:pPr>
      <w:r>
        <w:t>3</w:t>
      </w:r>
      <w:r>
        <w:tab/>
      </w:r>
      <w:r w:rsidR="008C381B">
        <w:t>Nominal coding rate determination</w:t>
      </w:r>
    </w:p>
    <w:p w14:paraId="6582E68A" w14:textId="38422FBE" w:rsidR="00B25CA2" w:rsidRDefault="009376D9" w:rsidP="00E73758">
      <w:pPr>
        <w:rPr>
          <w:lang w:val="en-GB"/>
        </w:rPr>
      </w:pPr>
      <w:r>
        <w:rPr>
          <w:lang w:val="en-GB"/>
        </w:rPr>
        <w:t xml:space="preserve">For a PDSCH or PUSCH transmission, to determine the </w:t>
      </w:r>
      <w:r w:rsidR="001F54A0">
        <w:rPr>
          <w:lang w:val="en-GB"/>
        </w:rPr>
        <w:t xml:space="preserve">exact code rate </w:t>
      </w:r>
      <w:r>
        <w:rPr>
          <w:lang w:val="en-GB"/>
        </w:rPr>
        <w:t xml:space="preserve">of the initial transmission, exact number of resource elements used for the transmission is needed. However, the exact number of resource elements used for the initial transmission is not only a function of resource allocation in DCI and the starting and ending OFDM symbol of the transmission, but also a function of all rate matching </w:t>
      </w:r>
      <w:r w:rsidR="00B25CA2">
        <w:rPr>
          <w:lang w:val="en-GB"/>
        </w:rPr>
        <w:t>mechanism, including DMRS, CSI-RS, sync block transmission, reserved resource within the allocation etc. Further more, the exact number of resource elements used for the initial transmission is also a function of all resource elements puncturing mechanisms, such as URLLC traffic puncturing. Additionally, it was already agreed that the unused resource for PDCCH can be reused of PDSCH. This introduces another source complexity for the determination of the exact number resource elements used.</w:t>
      </w:r>
    </w:p>
    <w:p w14:paraId="2BA8379D" w14:textId="11988AF3" w:rsidR="00B25CA2" w:rsidRDefault="00B25CA2" w:rsidP="00E73758">
      <w:pPr>
        <w:rPr>
          <w:lang w:val="en-GB"/>
        </w:rPr>
      </w:pPr>
      <w:r>
        <w:rPr>
          <w:lang w:val="en-GB"/>
        </w:rPr>
        <w:t>To summarize, the exact coding rate of the initial transmission is determined by:</w:t>
      </w:r>
    </w:p>
    <w:p w14:paraId="2417473F" w14:textId="3E81168D" w:rsidR="00B25CA2" w:rsidRDefault="00B25CA2" w:rsidP="00B25CA2">
      <w:pPr>
        <w:pStyle w:val="bullet"/>
      </w:pPr>
      <w:r>
        <w:t>Resource allocation, rank indication, and MCS in DCI</w:t>
      </w:r>
    </w:p>
    <w:p w14:paraId="42EDDF2F" w14:textId="18BAD66C" w:rsidR="00B25CA2" w:rsidRDefault="00B25CA2" w:rsidP="00B25CA2">
      <w:pPr>
        <w:pStyle w:val="bullet"/>
      </w:pPr>
      <w:r>
        <w:t>Starting and ending OFDM symbol of the transmission from RRC or DCI</w:t>
      </w:r>
    </w:p>
    <w:p w14:paraId="52C0A8F4" w14:textId="041EC276" w:rsidR="00B25CA2" w:rsidRDefault="00B25CA2" w:rsidP="00B25CA2">
      <w:pPr>
        <w:pStyle w:val="bullet"/>
      </w:pPr>
      <w:r>
        <w:t>Rate matching resources, including DMRS, CSI-RS, sync block, reserved resources etc</w:t>
      </w:r>
    </w:p>
    <w:p w14:paraId="2B16DB98" w14:textId="4F636AF6" w:rsidR="00B25CA2" w:rsidRDefault="00B25CA2" w:rsidP="00B25CA2">
      <w:pPr>
        <w:pStyle w:val="bullet"/>
      </w:pPr>
      <w:r>
        <w:t>Unused PDCCH resource reuse</w:t>
      </w:r>
    </w:p>
    <w:p w14:paraId="17492598" w14:textId="6FF1B5F1" w:rsidR="00B25CA2" w:rsidRDefault="00B25CA2" w:rsidP="00B25CA2">
      <w:pPr>
        <w:pStyle w:val="bullet"/>
      </w:pPr>
      <w:r>
        <w:t>Puncturing resource, including URLLC data</w:t>
      </w:r>
    </w:p>
    <w:p w14:paraId="34A8BC74" w14:textId="77777777" w:rsidR="00D46228" w:rsidRDefault="00D46228" w:rsidP="00B25CA2">
      <w:pPr>
        <w:rPr>
          <w:lang w:val="en-GB"/>
        </w:rPr>
      </w:pPr>
      <w:r>
        <w:rPr>
          <w:lang w:val="en-GB"/>
        </w:rPr>
        <w:t>The calculation to determine the exact coding rate is quite complex. It is preferred to use a nominal coding rate for base graph determination instead.</w:t>
      </w:r>
    </w:p>
    <w:p w14:paraId="236213B8" w14:textId="1281905C" w:rsidR="00215ABF" w:rsidRDefault="00D46228" w:rsidP="00B25CA2">
      <w:pPr>
        <w:rPr>
          <w:lang w:val="en-GB"/>
        </w:rPr>
      </w:pPr>
      <w:r>
        <w:rPr>
          <w:lang w:val="en-GB"/>
        </w:rPr>
        <w:fldChar w:fldCharType="begin"/>
      </w:r>
      <w:r>
        <w:rPr>
          <w:lang w:val="en-GB"/>
        </w:rPr>
        <w:instrText xml:space="preserve"> REF p6 \h </w:instrText>
      </w:r>
      <w:r>
        <w:rPr>
          <w:lang w:val="en-GB"/>
        </w:rPr>
      </w:r>
      <w:r>
        <w:rPr>
          <w:lang w:val="en-GB"/>
        </w:rPr>
        <w:fldChar w:fldCharType="separate"/>
      </w:r>
      <w:r w:rsidR="00014262" w:rsidRPr="002F4288">
        <w:rPr>
          <w:b/>
          <w:lang w:val="en-GB"/>
        </w:rPr>
        <w:t xml:space="preserve">Proposal </w:t>
      </w:r>
      <w:r w:rsidR="00014262">
        <w:rPr>
          <w:b/>
          <w:noProof/>
          <w:lang w:val="en-GB"/>
        </w:rPr>
        <w:t>2</w:t>
      </w:r>
      <w:r w:rsidR="00014262" w:rsidRPr="002F4288">
        <w:rPr>
          <w:b/>
          <w:lang w:val="en-GB"/>
        </w:rPr>
        <w:t>: Introduce nominal coding concept for the base graph determination, instead of the exact coding rate.</w:t>
      </w:r>
      <w:r>
        <w:rPr>
          <w:lang w:val="en-GB"/>
        </w:rPr>
        <w:fldChar w:fldCharType="end"/>
      </w:r>
      <w:r>
        <w:rPr>
          <w:lang w:val="en-GB"/>
        </w:rPr>
        <w:t xml:space="preserve"> </w:t>
      </w:r>
    </w:p>
    <w:p w14:paraId="64409923" w14:textId="17DD646B" w:rsidR="00B25CA2" w:rsidRDefault="002F4288" w:rsidP="00B25CA2">
      <w:pPr>
        <w:rPr>
          <w:lang w:val="en-GB"/>
        </w:rPr>
      </w:pPr>
      <w:r>
        <w:rPr>
          <w:lang w:val="en-GB"/>
        </w:rPr>
        <w:t>Note that the resource element puncture in out of the control of gNB when the traffic is scheduled. As a result, this effect should not be considered in the base graph determination.</w:t>
      </w:r>
    </w:p>
    <w:p w14:paraId="66608A7E" w14:textId="7C307AAD" w:rsidR="00215ABF" w:rsidRDefault="00215ABF" w:rsidP="00B25CA2">
      <w:pPr>
        <w:rPr>
          <w:lang w:val="en-GB"/>
        </w:rPr>
      </w:pPr>
      <w:r>
        <w:rPr>
          <w:lang w:val="en-GB"/>
        </w:rPr>
        <w:fldChar w:fldCharType="begin"/>
      </w:r>
      <w:r>
        <w:rPr>
          <w:lang w:val="en-GB"/>
        </w:rPr>
        <w:instrText xml:space="preserve"> REF p5 \h </w:instrText>
      </w:r>
      <w:r>
        <w:rPr>
          <w:lang w:val="en-GB"/>
        </w:rPr>
      </w:r>
      <w:r>
        <w:rPr>
          <w:lang w:val="en-GB"/>
        </w:rPr>
        <w:fldChar w:fldCharType="separate"/>
      </w:r>
      <w:r w:rsidR="00014262" w:rsidRPr="002F4288">
        <w:rPr>
          <w:b/>
          <w:lang w:val="en-GB"/>
        </w:rPr>
        <w:t xml:space="preserve">Proposal </w:t>
      </w:r>
      <w:r w:rsidR="00014262">
        <w:rPr>
          <w:b/>
          <w:noProof/>
          <w:lang w:val="en-GB"/>
        </w:rPr>
        <w:t>3</w:t>
      </w:r>
      <w:r w:rsidR="00014262">
        <w:rPr>
          <w:b/>
          <w:lang w:val="en-GB"/>
        </w:rPr>
        <w:t xml:space="preserve">: Resource element puncturing </w:t>
      </w:r>
      <w:r w:rsidR="00014262" w:rsidRPr="002F4288">
        <w:rPr>
          <w:b/>
          <w:lang w:val="en-GB"/>
        </w:rPr>
        <w:t>not considered in the initial transmission coding rate calculation.</w:t>
      </w:r>
      <w:r>
        <w:rPr>
          <w:lang w:val="en-GB"/>
        </w:rPr>
        <w:fldChar w:fldCharType="end"/>
      </w:r>
    </w:p>
    <w:p w14:paraId="58F0378A" w14:textId="2D2FF05E" w:rsidR="00B25CA2" w:rsidRDefault="00B25CA2" w:rsidP="00B25CA2">
      <w:r>
        <w:lastRenderedPageBreak/>
        <w:t xml:space="preserve">When UE receives the DCI for the initial transmission, though the computation is complex, it is still possible to calculate </w:t>
      </w:r>
      <w:r w:rsidR="00CC2CF1">
        <w:t>the exact coding rate. However, in the case the DCI for the initial transmission is lost and another DCI is transmitted to schedule the retransmission of the same transport block, the same base graph should be used but it will not be possible to provide all the detailed information needed to calculate the exact rate matching and PDCCH reuse. Therefore we propose to exclude these from the coding rate calculation for the base graph determination.</w:t>
      </w:r>
    </w:p>
    <w:p w14:paraId="676CFAE8" w14:textId="4876AA9B" w:rsidR="00360C5E" w:rsidRDefault="00360C5E" w:rsidP="00B25CA2">
      <w:r>
        <w:fldChar w:fldCharType="begin"/>
      </w:r>
      <w:r>
        <w:instrText xml:space="preserve"> REF p21 \h </w:instrText>
      </w:r>
      <w:r>
        <w:fldChar w:fldCharType="separate"/>
      </w:r>
      <w:r w:rsidR="00014262" w:rsidRPr="002F4288">
        <w:rPr>
          <w:b/>
          <w:lang w:val="en-GB"/>
        </w:rPr>
        <w:t xml:space="preserve">Proposal </w:t>
      </w:r>
      <w:r w:rsidR="00014262">
        <w:rPr>
          <w:b/>
          <w:noProof/>
          <w:lang w:val="en-GB"/>
        </w:rPr>
        <w:t>4</w:t>
      </w:r>
      <w:r w:rsidR="00014262" w:rsidRPr="002F4288">
        <w:rPr>
          <w:b/>
          <w:lang w:val="en-GB"/>
        </w:rPr>
        <w:t xml:space="preserve">: Resource element </w:t>
      </w:r>
      <w:r w:rsidR="00014262">
        <w:rPr>
          <w:b/>
          <w:lang w:val="en-GB"/>
        </w:rPr>
        <w:t>rate matching and dynamic unused PDCCH resource reusing</w:t>
      </w:r>
      <w:r w:rsidR="00014262" w:rsidRPr="002F4288">
        <w:rPr>
          <w:b/>
          <w:lang w:val="en-GB"/>
        </w:rPr>
        <w:t xml:space="preserve"> not considered in the initial transmission coding rate calculation.</w:t>
      </w:r>
      <w:r>
        <w:fldChar w:fldCharType="end"/>
      </w:r>
    </w:p>
    <w:p w14:paraId="35931BA4" w14:textId="6E5AB45D" w:rsidR="00215ABF" w:rsidRDefault="00215ABF" w:rsidP="00B25CA2">
      <w:r>
        <w:t>As a result, the coding rate used to derive the base graph should be only a function of</w:t>
      </w:r>
    </w:p>
    <w:p w14:paraId="51B2BDEF" w14:textId="77777777" w:rsidR="00215ABF" w:rsidRDefault="00215ABF" w:rsidP="00215ABF">
      <w:pPr>
        <w:pStyle w:val="bullet"/>
      </w:pPr>
      <w:r>
        <w:t>Resource allocation, rank indication, and MCS in DCI</w:t>
      </w:r>
    </w:p>
    <w:p w14:paraId="512D5323" w14:textId="77777777" w:rsidR="00215ABF" w:rsidRDefault="00215ABF" w:rsidP="00215ABF">
      <w:pPr>
        <w:pStyle w:val="bullet"/>
      </w:pPr>
      <w:r>
        <w:t>Starting and ending OFDM symbol of the transmission from RRC or DCI</w:t>
      </w:r>
    </w:p>
    <w:p w14:paraId="0066ADDE" w14:textId="77777777" w:rsidR="004D3A27" w:rsidRDefault="004D3A27" w:rsidP="00B25CA2">
      <w:pPr>
        <w:rPr>
          <w:lang w:val="en-GB"/>
        </w:rPr>
      </w:pPr>
    </w:p>
    <w:p w14:paraId="45A47690" w14:textId="63885059" w:rsidR="00215ABF" w:rsidRDefault="00215ABF" w:rsidP="00B25CA2">
      <w:pPr>
        <w:rPr>
          <w:lang w:val="en-GB"/>
        </w:rPr>
      </w:pPr>
      <w:r>
        <w:rPr>
          <w:lang w:val="en-GB"/>
        </w:rPr>
        <w:t>A simple way to define the coding rate can be directly using coding rate implied by MCS definition. When MCS table is defined, a modulation order and coding rate is assumed for each MCS to find a set of MCS with enough spectrum efficiency resolution to support the data transmission. The same coding rate can be reused and it should be accurate enough for the base graph determination purpose, consider the two base graphs have enough overlapping region for performance and an accurate threshold for coding rate for the base graph determination is typically not necessary.</w:t>
      </w:r>
      <w:r w:rsidR="004D3A27">
        <w:rPr>
          <w:lang w:val="en-GB"/>
        </w:rPr>
        <w:t xml:space="preserve"> An alternative method to define a nominal coding rate is to again use the nominal number of RBs concept introduced in Section 2 and calculate the nominal coding rate using the TBS for the transmission and the nominal number of coded bits calculated from the nominal number of RBs. The computation is slightly more involved and may not be necessary.</w:t>
      </w:r>
    </w:p>
    <w:p w14:paraId="7C0A109C" w14:textId="102EB26A" w:rsidR="00C7306F" w:rsidRDefault="00D92DC2" w:rsidP="00B25CA2">
      <w:pPr>
        <w:rPr>
          <w:lang w:val="en-GB"/>
        </w:rPr>
      </w:pPr>
      <w:r>
        <w:rPr>
          <w:lang w:val="en-GB"/>
        </w:rPr>
        <w:fldChar w:fldCharType="begin"/>
      </w:r>
      <w:r>
        <w:rPr>
          <w:lang w:val="en-GB"/>
        </w:rPr>
        <w:instrText xml:space="preserve"> REF p4 \h </w:instrText>
      </w:r>
      <w:r>
        <w:rPr>
          <w:lang w:val="en-GB"/>
        </w:rPr>
      </w:r>
      <w:r>
        <w:rPr>
          <w:lang w:val="en-GB"/>
        </w:rPr>
        <w:fldChar w:fldCharType="separate"/>
      </w:r>
      <w:r w:rsidR="00014262" w:rsidRPr="00215ABF">
        <w:rPr>
          <w:b/>
          <w:lang w:val="en-GB"/>
        </w:rPr>
        <w:t xml:space="preserve">Proposal </w:t>
      </w:r>
      <w:r w:rsidR="00014262">
        <w:rPr>
          <w:b/>
          <w:noProof/>
          <w:lang w:val="en-GB"/>
        </w:rPr>
        <w:t>5</w:t>
      </w:r>
      <w:r w:rsidR="00014262" w:rsidRPr="00215ABF">
        <w:rPr>
          <w:b/>
          <w:lang w:val="en-GB"/>
        </w:rPr>
        <w:t>: Use the MCS coding rate as the nominal coding rate to determine the base graph for LDPC code.</w:t>
      </w:r>
      <w:r>
        <w:rPr>
          <w:lang w:val="en-GB"/>
        </w:rPr>
        <w:fldChar w:fldCharType="end"/>
      </w:r>
    </w:p>
    <w:p w14:paraId="5543F699" w14:textId="4A338837" w:rsidR="004D3A27" w:rsidRDefault="004D3A27" w:rsidP="004D3A27">
      <w:pPr>
        <w:pStyle w:val="Heading1"/>
      </w:pPr>
      <w:r>
        <w:t>4</w:t>
      </w:r>
      <w:r>
        <w:tab/>
        <w:t>LDPC base graph determination and indication</w:t>
      </w:r>
    </w:p>
    <w:p w14:paraId="5213FAAA" w14:textId="173F82B8" w:rsidR="00C7306F" w:rsidRDefault="00C7306F" w:rsidP="004D3A27">
      <w:r>
        <w:t>With the nominal number of RBs and nominal coding rate concepts</w:t>
      </w:r>
      <w:r w:rsidR="004D3A27">
        <w:t xml:space="preserve"> introduced in the previous two sections</w:t>
      </w:r>
      <w:r>
        <w:t>, each entry in the TBS table will have a base graph associated</w:t>
      </w:r>
      <w:r w:rsidR="004D3A27">
        <w:t xml:space="preserve"> following the agreement</w:t>
      </w:r>
      <w:r>
        <w:t xml:space="preserve">. </w:t>
      </w:r>
      <w:r w:rsidR="004D3A27">
        <w:rPr>
          <w:lang w:val="en-GB"/>
        </w:rPr>
        <w:t>Basically nominal number of resource blocks and MCS are used to look up a table to determine TBS, and the nominal coding rate is used together with the TBS to determine the base graph. Effectively, for each entry in the TBS table, a base graph is associated.</w:t>
      </w:r>
      <w:r w:rsidR="004D3A27">
        <w:t xml:space="preserve"> </w:t>
      </w:r>
      <w:r>
        <w:t>This is illustrated in the next figure.</w:t>
      </w:r>
      <w:r w:rsidRPr="00C7306F">
        <w:object w:dxaOrig="10827" w:dyaOrig="4707" w14:anchorId="6DC731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208.8pt" o:ole="">
            <v:imagedata r:id="rId13" o:title=""/>
          </v:shape>
          <o:OLEObject Type="Embed" ProgID="Visio.Drawing.11" ShapeID="_x0000_i1025" DrawAspect="Content" ObjectID="_1563877221" r:id="rId14"/>
        </w:object>
      </w:r>
    </w:p>
    <w:p w14:paraId="56B650AA" w14:textId="5CA262D7" w:rsidR="00C7306F" w:rsidRDefault="00C7306F" w:rsidP="00C7306F">
      <w:pPr>
        <w:pStyle w:val="Caption"/>
      </w:pPr>
      <w:r>
        <w:t xml:space="preserve">Figure </w:t>
      </w:r>
      <w:r w:rsidR="00B9171E">
        <w:fldChar w:fldCharType="begin"/>
      </w:r>
      <w:r w:rsidR="00B9171E">
        <w:instrText xml:space="preserve"> SEQ Figure \* ARABIC </w:instrText>
      </w:r>
      <w:r w:rsidR="00B9171E">
        <w:fldChar w:fldCharType="separate"/>
      </w:r>
      <w:r w:rsidR="00014262">
        <w:rPr>
          <w:noProof/>
        </w:rPr>
        <w:t>1</w:t>
      </w:r>
      <w:r w:rsidR="00B9171E">
        <w:rPr>
          <w:noProof/>
        </w:rPr>
        <w:fldChar w:fldCharType="end"/>
      </w:r>
      <w:r>
        <w:t>. Illustration of the TBS table with Base Graph Associateion</w:t>
      </w:r>
    </w:p>
    <w:p w14:paraId="56D4812A" w14:textId="76BC340C" w:rsidR="003D6B5B" w:rsidRDefault="003D6B5B" w:rsidP="00E73758">
      <w:pPr>
        <w:rPr>
          <w:lang w:val="en-GB"/>
        </w:rPr>
      </w:pPr>
      <w:r>
        <w:rPr>
          <w:lang w:val="en-GB"/>
        </w:rPr>
        <w:t>In the LTE TBS table, multiple MCS and #RB pairs can map to the same TBS entry. The eNB can choose to retransmit with different MCS/#RB pairs when the TBS are the same across these pairs, so to gain some flexibility in the resource usage for the retransmissions. We consider this a useful feature that should be supported in NR as well.</w:t>
      </w:r>
    </w:p>
    <w:p w14:paraId="2D25BA01" w14:textId="11F4808E" w:rsidR="00D92DC2" w:rsidRDefault="00D92DC2" w:rsidP="00E73758">
      <w:pPr>
        <w:rPr>
          <w:lang w:val="en-GB"/>
        </w:rPr>
      </w:pPr>
      <w:r>
        <w:rPr>
          <w:lang w:val="en-GB"/>
        </w:rPr>
        <w:t xml:space="preserve">In the case that two entries in the TBS table end up with the same TBS size but different base graphs, say one with high MCS and small RB allocation, but the other with low MCS and larger RB allocation, there is ambiguity which base graph is used. By definition, the base graph determination only happens for the initial transmission. For re-transmission, even another entry in the TBS table with the same TBS is used, the base graph follows the initial transmission, even if </w:t>
      </w:r>
      <w:r>
        <w:rPr>
          <w:lang w:val="en-GB"/>
        </w:rPr>
        <w:lastRenderedPageBreak/>
        <w:t>that entry in the TBS table effectively implies a different base graph.</w:t>
      </w:r>
      <w:r w:rsidR="00CE51FB">
        <w:rPr>
          <w:lang w:val="en-GB"/>
        </w:rPr>
        <w:t xml:space="preserve"> Such ambiguity should be avoided in the case there is always a DCI</w:t>
      </w:r>
      <w:r w:rsidR="004C1242">
        <w:rPr>
          <w:lang w:val="en-GB"/>
        </w:rPr>
        <w:t xml:space="preserve"> miss detection error event, such that the initial transmission DCI implies the base graph used, but it is not received by the UE. </w:t>
      </w:r>
      <w:r w:rsidR="008A7FCC">
        <w:rPr>
          <w:lang w:val="en-GB"/>
        </w:rPr>
        <w:t>In that case, if the retransmission DCI implies a different base graph, the UE decoding assumption will be wrong.</w:t>
      </w:r>
    </w:p>
    <w:p w14:paraId="112CEE44" w14:textId="59E9A75C" w:rsidR="00CE51FB" w:rsidRDefault="00CE51FB" w:rsidP="00E73758">
      <w:pPr>
        <w:rPr>
          <w:lang w:val="en-GB"/>
        </w:rPr>
      </w:pPr>
      <w:r>
        <w:rPr>
          <w:lang w:val="en-GB"/>
        </w:rPr>
        <w:fldChar w:fldCharType="begin"/>
      </w:r>
      <w:r>
        <w:rPr>
          <w:lang w:val="en-GB"/>
        </w:rPr>
        <w:instrText xml:space="preserve"> REF p7 \h </w:instrText>
      </w:r>
      <w:r>
        <w:rPr>
          <w:lang w:val="en-GB"/>
        </w:rPr>
      </w:r>
      <w:r>
        <w:rPr>
          <w:lang w:val="en-GB"/>
        </w:rPr>
        <w:fldChar w:fldCharType="separate"/>
      </w:r>
      <w:r w:rsidR="00014262" w:rsidRPr="00FD5B11">
        <w:rPr>
          <w:b/>
        </w:rPr>
        <w:t xml:space="preserve">Proposal </w:t>
      </w:r>
      <w:r w:rsidR="00014262">
        <w:rPr>
          <w:b/>
          <w:noProof/>
        </w:rPr>
        <w:t>6</w:t>
      </w:r>
      <w:r w:rsidR="00014262" w:rsidRPr="00FD5B11">
        <w:rPr>
          <w:b/>
        </w:rPr>
        <w:t>:</w:t>
      </w:r>
      <w:r w:rsidR="00014262">
        <w:rPr>
          <w:b/>
        </w:rPr>
        <w:t xml:space="preserve"> Base graph indication design should support retransmission with different TBS table entries, but should be robust enough to handle DCI miss detection error events.</w:t>
      </w:r>
      <w:r>
        <w:rPr>
          <w:lang w:val="en-GB"/>
        </w:rPr>
        <w:fldChar w:fldCharType="end"/>
      </w:r>
    </w:p>
    <w:p w14:paraId="4AEEA84A" w14:textId="68710832" w:rsidR="00164790" w:rsidRDefault="00164790" w:rsidP="00E73758">
      <w:pPr>
        <w:rPr>
          <w:lang w:val="en-GB"/>
        </w:rPr>
      </w:pPr>
      <w:r>
        <w:rPr>
          <w:lang w:val="en-GB"/>
        </w:rPr>
        <w:t xml:space="preserve">To </w:t>
      </w:r>
      <w:r w:rsidR="00774F37">
        <w:rPr>
          <w:lang w:val="en-GB"/>
        </w:rPr>
        <w:t xml:space="preserve">properly decode, the ambiguity needs to be </w:t>
      </w:r>
      <w:r>
        <w:rPr>
          <w:lang w:val="en-GB"/>
        </w:rPr>
        <w:t>r</w:t>
      </w:r>
      <w:r w:rsidR="00774F37">
        <w:rPr>
          <w:lang w:val="en-GB"/>
        </w:rPr>
        <w:t>esolves. There are a few ways to do that.</w:t>
      </w:r>
    </w:p>
    <w:p w14:paraId="53545BBA" w14:textId="6E79D64B" w:rsidR="00774F37" w:rsidRDefault="00774F37" w:rsidP="00774F37">
      <w:pPr>
        <w:pStyle w:val="bullet"/>
      </w:pPr>
      <w:r>
        <w:t>Alt 1. Adding a bit in the DCI per CW to indicate the base graph used.</w:t>
      </w:r>
    </w:p>
    <w:p w14:paraId="28511BEE" w14:textId="6A4F8673" w:rsidR="00774F37" w:rsidRDefault="00774F37" w:rsidP="00774F37">
      <w:pPr>
        <w:pStyle w:val="bullet"/>
      </w:pPr>
      <w:r>
        <w:t>Alt 2. gNB makes sure the initial transmission and all retransmissions use the TBS table entries with the same base graph.</w:t>
      </w:r>
    </w:p>
    <w:p w14:paraId="07E5D2AE" w14:textId="2DDA51DA" w:rsidR="00774F37" w:rsidRDefault="00774F37" w:rsidP="00774F37">
      <w:pPr>
        <w:pStyle w:val="bullet"/>
      </w:pPr>
      <w:r>
        <w:t xml:space="preserve">Alt 3. </w:t>
      </w:r>
      <w:r w:rsidR="00C7306F">
        <w:t>TBS table design makes sure there will be no same TBS size entries with different base graphs.</w:t>
      </w:r>
    </w:p>
    <w:p w14:paraId="2B82E18D" w14:textId="0B00425B" w:rsidR="00C7306F" w:rsidRDefault="00C7306F" w:rsidP="00774F37">
      <w:pPr>
        <w:pStyle w:val="bullet"/>
      </w:pPr>
      <w:r>
        <w:t xml:space="preserve">Alt 4. </w:t>
      </w:r>
      <w:r w:rsidR="00027A8C">
        <w:t>Specially designed TBS table to have both base graph options for the same TBS with the same column in the TBS table.</w:t>
      </w:r>
    </w:p>
    <w:p w14:paraId="75CE86FD" w14:textId="77777777" w:rsidR="00027A8C" w:rsidRDefault="00027A8C" w:rsidP="00027A8C">
      <w:pPr>
        <w:pStyle w:val="bullet"/>
        <w:numPr>
          <w:ilvl w:val="0"/>
          <w:numId w:val="0"/>
        </w:numPr>
        <w:ind w:left="720" w:hanging="360"/>
      </w:pPr>
    </w:p>
    <w:p w14:paraId="0EA9F5C2" w14:textId="68670E70" w:rsidR="00C7306F" w:rsidRDefault="00C7306F" w:rsidP="00C7306F">
      <w:r>
        <w:t xml:space="preserve">Among these alternatives, alternative 1 is the simpliest and is robust to DCI miss detection events. </w:t>
      </w:r>
      <w:r w:rsidR="00FD5B11">
        <w:t>In this case, a bit in the DCI indicates the base graph used for the initial transmission. Even if the gNB picks a different TBS table entry corresponding to a different base graph for initial transmission, the explicit bit will let the UE know the base graph used. However, this design will add a bit to the DCI payload. Consider the fact that the base graph 2 will only be used for a very limited set of TBS entries, paying the cost of 1 bit uniformly may not be a good tradeoff.</w:t>
      </w:r>
    </w:p>
    <w:p w14:paraId="54A1CFAE" w14:textId="69BF4AAC" w:rsidR="00FD5B11" w:rsidRDefault="00FD5B11" w:rsidP="00C7306F">
      <w:r>
        <w:t xml:space="preserve">Alternative 2 and alternative 3 are also simple. On the UE side, the TBS entry will be directly used to look up the table to identify the base graph used, and there will be no ambiguity. In altenative 2, the gNB will take care of the ambiguity resolution. In alternative 3, the TBS table is designed such that the ambiguity will not happen. The downside of these alternatives is there is restriction on the gNB scheduling flexibility on using very different number of RBs and MCS for the retransmission. </w:t>
      </w:r>
    </w:p>
    <w:p w14:paraId="7836F043" w14:textId="1ACA14ED" w:rsidR="00FD5B11" w:rsidRDefault="004D3A27" w:rsidP="00FD5B11">
      <w:pPr>
        <w:keepNext/>
      </w:pPr>
      <w:r w:rsidRPr="00FD5B11">
        <w:object w:dxaOrig="10827" w:dyaOrig="4707" w14:anchorId="5BB17DBC">
          <v:shape id="_x0000_i1026" type="#_x0000_t75" style="width:482.4pt;height:208.8pt" o:ole="">
            <v:imagedata r:id="rId15" o:title=""/>
          </v:shape>
          <o:OLEObject Type="Embed" ProgID="Visio.Drawing.11" ShapeID="_x0000_i1026" DrawAspect="Content" ObjectID="_1563877222" r:id="rId16"/>
        </w:object>
      </w:r>
    </w:p>
    <w:p w14:paraId="6AA096ED" w14:textId="5166FC33" w:rsidR="00FD5B11" w:rsidRDefault="00FD5B11" w:rsidP="00FD5B11">
      <w:pPr>
        <w:pStyle w:val="Caption"/>
      </w:pPr>
      <w:bookmarkStart w:id="2" w:name="_Ref489953697"/>
      <w:r>
        <w:t xml:space="preserve">Figure </w:t>
      </w:r>
      <w:r w:rsidR="00B9171E">
        <w:fldChar w:fldCharType="begin"/>
      </w:r>
      <w:r w:rsidR="00B9171E">
        <w:instrText xml:space="preserve"> SEQ Figure \* ARABIC </w:instrText>
      </w:r>
      <w:r w:rsidR="00B9171E">
        <w:fldChar w:fldCharType="separate"/>
      </w:r>
      <w:r w:rsidR="00014262">
        <w:rPr>
          <w:noProof/>
        </w:rPr>
        <w:t>2</w:t>
      </w:r>
      <w:r w:rsidR="00B9171E">
        <w:rPr>
          <w:noProof/>
        </w:rPr>
        <w:fldChar w:fldCharType="end"/>
      </w:r>
      <w:bookmarkEnd w:id="2"/>
      <w:r>
        <w:t>.</w:t>
      </w:r>
      <w:r w:rsidR="001A4EEA">
        <w:t xml:space="preserve"> Illustration of TBS table with special designs to allow </w:t>
      </w:r>
      <w:r w:rsidR="00027A8C">
        <w:t>more flexible TBS in retransmissions</w:t>
      </w:r>
    </w:p>
    <w:p w14:paraId="52E63B95" w14:textId="4098E174" w:rsidR="00CE51FB" w:rsidRPr="00027A8C" w:rsidRDefault="00027A8C" w:rsidP="00027A8C">
      <w:r>
        <w:t xml:space="preserve">Alternative 4 is illustrated in </w:t>
      </w:r>
      <w:r>
        <w:fldChar w:fldCharType="begin"/>
      </w:r>
      <w:r>
        <w:instrText xml:space="preserve"> REF _Ref489953697 \h </w:instrText>
      </w:r>
      <w:r>
        <w:fldChar w:fldCharType="separate"/>
      </w:r>
      <w:r w:rsidR="00014262">
        <w:t xml:space="preserve">Figure </w:t>
      </w:r>
      <w:r w:rsidR="00014262">
        <w:rPr>
          <w:noProof/>
        </w:rPr>
        <w:t>2</w:t>
      </w:r>
      <w:r>
        <w:fldChar w:fldCharType="end"/>
      </w:r>
      <w:r>
        <w:t>. This alternative is an improvement to alternatives 2 and 3. Here the TBS table is designed in such a ways that, if a TBS size is to be supported with both base graphs with diff</w:t>
      </w:r>
      <w:r w:rsidR="00CE51FB">
        <w:t>erent number of nominal RBs</w:t>
      </w:r>
      <w:r>
        <w:t xml:space="preserve"> (columns in the TBS table), </w:t>
      </w:r>
      <w:r w:rsidR="00CE51FB">
        <w:t xml:space="preserve">within each column, assigne two entries to the TBS size. For example, in </w:t>
      </w:r>
      <w:r w:rsidR="00CE51FB">
        <w:fldChar w:fldCharType="begin"/>
      </w:r>
      <w:r w:rsidR="00CE51FB">
        <w:instrText xml:space="preserve"> REF _Ref489953697 \h </w:instrText>
      </w:r>
      <w:r w:rsidR="00CE51FB">
        <w:fldChar w:fldCharType="separate"/>
      </w:r>
      <w:r w:rsidR="00014262">
        <w:t xml:space="preserve">Figure </w:t>
      </w:r>
      <w:r w:rsidR="00014262">
        <w:rPr>
          <w:noProof/>
        </w:rPr>
        <w:t>2</w:t>
      </w:r>
      <w:r w:rsidR="00CE51FB">
        <w:fldChar w:fldCharType="end"/>
      </w:r>
      <w:r w:rsidR="00CE51FB">
        <w:t>, to support TBS0 in both base graphs, we design the TBS table to have 4 TBS0 entries, in two different columns. If the gNB sends the initial transmission with TBS0 in base graph 1 and determines to retransmit with a very different number of RBs, it can find in the TBS table with another entry of TBS0 in the same base graph. Effectively, alternative 4 is attempting to jointly encode the base graph indicator with the MCS value. The flexibility of the retransmission scheduling is achieved at the cost of lower MCS resolution for the TBS table at the low MCS and low number of nominal RBs cornor.</w:t>
      </w:r>
    </w:p>
    <w:p w14:paraId="4719C912" w14:textId="17E13A3F" w:rsidR="00FD5B11" w:rsidRDefault="00686DA5" w:rsidP="00FD5B11">
      <w:r>
        <w:t>All the alternatives have their pros and cons. Further study is needed to downselect.</w:t>
      </w:r>
    </w:p>
    <w:p w14:paraId="043465FE" w14:textId="77777777" w:rsidR="00014262" w:rsidRPr="00686DA5" w:rsidRDefault="00686DA5" w:rsidP="00E73758">
      <w:pPr>
        <w:rPr>
          <w:b/>
          <w:lang w:val="en-GB"/>
        </w:rPr>
      </w:pPr>
      <w:r>
        <w:fldChar w:fldCharType="begin"/>
      </w:r>
      <w:r>
        <w:instrText xml:space="preserve"> REF p9 \h </w:instrText>
      </w:r>
      <w:r>
        <w:fldChar w:fldCharType="separate"/>
      </w:r>
      <w:r w:rsidR="00014262" w:rsidRPr="00686DA5">
        <w:rPr>
          <w:b/>
          <w:lang w:val="en-GB"/>
        </w:rPr>
        <w:t xml:space="preserve">Proposal </w:t>
      </w:r>
      <w:r w:rsidR="00014262">
        <w:rPr>
          <w:b/>
          <w:noProof/>
          <w:lang w:val="en-GB"/>
        </w:rPr>
        <w:t>7</w:t>
      </w:r>
      <w:r w:rsidR="00014262" w:rsidRPr="00686DA5">
        <w:rPr>
          <w:b/>
          <w:lang w:val="en-GB"/>
        </w:rPr>
        <w:t>: Base graph indication can be downselected from the following alternatives</w:t>
      </w:r>
    </w:p>
    <w:p w14:paraId="69396AA2" w14:textId="77777777" w:rsidR="00014262" w:rsidRPr="00686DA5" w:rsidRDefault="00014262" w:rsidP="00686DA5">
      <w:pPr>
        <w:pStyle w:val="bullet"/>
        <w:rPr>
          <w:b/>
        </w:rPr>
      </w:pPr>
      <w:r w:rsidRPr="00686DA5">
        <w:rPr>
          <w:b/>
        </w:rPr>
        <w:lastRenderedPageBreak/>
        <w:t>Alt 1. Adding a bit in the DCI per CW to indicate the base graph used.</w:t>
      </w:r>
    </w:p>
    <w:p w14:paraId="5ABCACE1" w14:textId="77777777" w:rsidR="00014262" w:rsidRPr="00686DA5" w:rsidRDefault="00014262" w:rsidP="00686DA5">
      <w:pPr>
        <w:pStyle w:val="bullet"/>
        <w:rPr>
          <w:b/>
        </w:rPr>
      </w:pPr>
      <w:r w:rsidRPr="00686DA5">
        <w:rPr>
          <w:b/>
        </w:rPr>
        <w:t>Alt 2. gNB makes sure the initial transmission and all retransmissions use the TBS table entries with the same base graph.</w:t>
      </w:r>
    </w:p>
    <w:p w14:paraId="13412063" w14:textId="77777777" w:rsidR="00014262" w:rsidRPr="00686DA5" w:rsidRDefault="00014262" w:rsidP="00686DA5">
      <w:pPr>
        <w:pStyle w:val="bullet"/>
        <w:rPr>
          <w:b/>
        </w:rPr>
      </w:pPr>
      <w:r w:rsidRPr="00686DA5">
        <w:rPr>
          <w:b/>
        </w:rPr>
        <w:t>Alt 3. TBS table design makes sure there will be no same TBS size entries with different base graphs.</w:t>
      </w:r>
    </w:p>
    <w:p w14:paraId="448437FA" w14:textId="77777777" w:rsidR="00014262" w:rsidRPr="00686DA5" w:rsidRDefault="00014262" w:rsidP="00686DA5">
      <w:pPr>
        <w:pStyle w:val="bullet"/>
        <w:rPr>
          <w:b/>
        </w:rPr>
      </w:pPr>
      <w:r w:rsidRPr="00686DA5">
        <w:rPr>
          <w:b/>
        </w:rPr>
        <w:t>Alt 4. Specially designed TBS table to have both base graph options for the same TBS with the same column in the TBS table.</w:t>
      </w:r>
    </w:p>
    <w:p w14:paraId="3684492C" w14:textId="5BBB0A5A" w:rsidR="00686DA5" w:rsidRDefault="00686DA5" w:rsidP="00FD5B11">
      <w:r>
        <w:fldChar w:fldCharType="end"/>
      </w:r>
    </w:p>
    <w:p w14:paraId="352B9158" w14:textId="72BDE5C0" w:rsidR="00E73758" w:rsidRDefault="00B9171E" w:rsidP="00E73758">
      <w:pPr>
        <w:pStyle w:val="Heading1"/>
      </w:pPr>
      <w:r>
        <w:t>5</w:t>
      </w:r>
      <w:r w:rsidR="00E73758">
        <w:tab/>
        <w:t>Conclusions</w:t>
      </w:r>
    </w:p>
    <w:p w14:paraId="465362F7" w14:textId="28613F6F" w:rsidR="00E73758" w:rsidRDefault="00F16C78" w:rsidP="00E73758">
      <w:pPr>
        <w:rPr>
          <w:lang w:val="en-GB"/>
        </w:rPr>
      </w:pPr>
      <w:r>
        <w:rPr>
          <w:lang w:val="en-GB"/>
        </w:rPr>
        <w:t>In the paper, we considered TBS determination and LDPC base graph determination and indication. We have the following proposals.</w:t>
      </w:r>
    </w:p>
    <w:p w14:paraId="635DF041" w14:textId="45DDCE95" w:rsidR="00E73758" w:rsidRPr="00F16C78" w:rsidRDefault="00B25CA2" w:rsidP="00E73758">
      <w:pPr>
        <w:rPr>
          <w:b/>
          <w:lang w:val="en-GB"/>
        </w:rPr>
      </w:pPr>
      <w:bookmarkStart w:id="3" w:name="p1"/>
      <w:r>
        <w:rPr>
          <w:b/>
          <w:lang w:val="en-GB"/>
        </w:rPr>
        <w:t xml:space="preserve">Proposal </w:t>
      </w:r>
      <w:r w:rsidR="002F4288">
        <w:rPr>
          <w:b/>
          <w:lang w:val="en-GB"/>
        </w:rPr>
        <w:fldChar w:fldCharType="begin"/>
      </w:r>
      <w:r w:rsidR="002F4288">
        <w:rPr>
          <w:b/>
          <w:lang w:val="en-GB"/>
        </w:rPr>
        <w:instrText xml:space="preserve"> seq prop </w:instrText>
      </w:r>
      <w:r w:rsidR="002F4288">
        <w:rPr>
          <w:b/>
          <w:lang w:val="en-GB"/>
        </w:rPr>
        <w:fldChar w:fldCharType="separate"/>
      </w:r>
      <w:r w:rsidR="00014262">
        <w:rPr>
          <w:b/>
          <w:noProof/>
          <w:lang w:val="en-GB"/>
        </w:rPr>
        <w:t>1</w:t>
      </w:r>
      <w:r w:rsidR="002F4288">
        <w:rPr>
          <w:b/>
          <w:lang w:val="en-GB"/>
        </w:rPr>
        <w:fldChar w:fldCharType="end"/>
      </w:r>
      <w:r w:rsidR="00E73758" w:rsidRPr="00F16C78">
        <w:rPr>
          <w:b/>
          <w:lang w:val="en-GB"/>
        </w:rPr>
        <w:t xml:space="preserve">: Introduce nominal </w:t>
      </w:r>
      <w:r w:rsidR="00F16C78" w:rsidRPr="00F16C78">
        <w:rPr>
          <w:b/>
          <w:lang w:val="en-GB"/>
        </w:rPr>
        <w:t xml:space="preserve">number of </w:t>
      </w:r>
      <w:r w:rsidR="00E73758" w:rsidRPr="00F16C78">
        <w:rPr>
          <w:b/>
          <w:lang w:val="en-GB"/>
        </w:rPr>
        <w:t>resource block size concept for transport block size determination</w:t>
      </w:r>
      <w:r w:rsidR="00F16C78" w:rsidRPr="00F16C78">
        <w:rPr>
          <w:b/>
          <w:lang w:val="en-GB"/>
        </w:rPr>
        <w:t>.</w:t>
      </w:r>
      <w:bookmarkEnd w:id="3"/>
    </w:p>
    <w:p w14:paraId="0EEB8246" w14:textId="763EDBD9" w:rsidR="00215ABF" w:rsidRPr="002F4288" w:rsidRDefault="00215ABF" w:rsidP="00215ABF">
      <w:pPr>
        <w:rPr>
          <w:b/>
          <w:lang w:val="en-GB"/>
        </w:rPr>
      </w:pPr>
      <w:bookmarkStart w:id="4" w:name="p3"/>
      <w:bookmarkStart w:id="5" w:name="p6"/>
      <w:bookmarkStart w:id="6" w:name="p2"/>
      <w:r w:rsidRPr="002F4288">
        <w:rPr>
          <w:b/>
          <w:lang w:val="en-GB"/>
        </w:rPr>
        <w:t xml:space="preserve">Proposal </w:t>
      </w:r>
      <w:r w:rsidRPr="002F4288">
        <w:rPr>
          <w:b/>
          <w:lang w:val="en-GB"/>
        </w:rPr>
        <w:fldChar w:fldCharType="begin"/>
      </w:r>
      <w:r w:rsidRPr="002F4288">
        <w:rPr>
          <w:b/>
          <w:lang w:val="en-GB"/>
        </w:rPr>
        <w:instrText xml:space="preserve"> seq prop </w:instrText>
      </w:r>
      <w:r w:rsidRPr="002F4288">
        <w:rPr>
          <w:b/>
          <w:lang w:val="en-GB"/>
        </w:rPr>
        <w:fldChar w:fldCharType="separate"/>
      </w:r>
      <w:r w:rsidR="00014262">
        <w:rPr>
          <w:b/>
          <w:noProof/>
          <w:lang w:val="en-GB"/>
        </w:rPr>
        <w:t>2</w:t>
      </w:r>
      <w:r w:rsidRPr="002F4288">
        <w:rPr>
          <w:b/>
          <w:lang w:val="en-GB"/>
        </w:rPr>
        <w:fldChar w:fldCharType="end"/>
      </w:r>
      <w:r w:rsidRPr="002F4288">
        <w:rPr>
          <w:b/>
          <w:lang w:val="en-GB"/>
        </w:rPr>
        <w:t>: Introduce nominal coding concept for the base graph determination, instead of the exact coding rate.</w:t>
      </w:r>
      <w:bookmarkEnd w:id="4"/>
      <w:bookmarkEnd w:id="5"/>
    </w:p>
    <w:p w14:paraId="72A9AB4D" w14:textId="051A58DF" w:rsidR="00F16C78" w:rsidRDefault="002F4288" w:rsidP="00E73758">
      <w:pPr>
        <w:rPr>
          <w:b/>
          <w:lang w:val="en-GB"/>
        </w:rPr>
      </w:pPr>
      <w:bookmarkStart w:id="7" w:name="p5"/>
      <w:r w:rsidRPr="002F4288">
        <w:rPr>
          <w:b/>
          <w:lang w:val="en-GB"/>
        </w:rPr>
        <w:t xml:space="preserve">Proposal </w:t>
      </w:r>
      <w:r w:rsidRPr="002F4288">
        <w:rPr>
          <w:b/>
          <w:lang w:val="en-GB"/>
        </w:rPr>
        <w:fldChar w:fldCharType="begin"/>
      </w:r>
      <w:r w:rsidRPr="002F4288">
        <w:rPr>
          <w:b/>
          <w:lang w:val="en-GB"/>
        </w:rPr>
        <w:instrText xml:space="preserve"> seq prop </w:instrText>
      </w:r>
      <w:r w:rsidRPr="002F4288">
        <w:rPr>
          <w:b/>
          <w:lang w:val="en-GB"/>
        </w:rPr>
        <w:fldChar w:fldCharType="separate"/>
      </w:r>
      <w:r w:rsidR="00014262">
        <w:rPr>
          <w:b/>
          <w:noProof/>
          <w:lang w:val="en-GB"/>
        </w:rPr>
        <w:t>3</w:t>
      </w:r>
      <w:r w:rsidRPr="002F4288">
        <w:rPr>
          <w:b/>
          <w:lang w:val="en-GB"/>
        </w:rPr>
        <w:fldChar w:fldCharType="end"/>
      </w:r>
      <w:r w:rsidR="00215ABF">
        <w:rPr>
          <w:b/>
          <w:lang w:val="en-GB"/>
        </w:rPr>
        <w:t xml:space="preserve">: Resource element puncturing </w:t>
      </w:r>
      <w:r w:rsidRPr="002F4288">
        <w:rPr>
          <w:b/>
          <w:lang w:val="en-GB"/>
        </w:rPr>
        <w:t>not considered in the initial transmission coding rate calculation.</w:t>
      </w:r>
      <w:bookmarkEnd w:id="7"/>
    </w:p>
    <w:p w14:paraId="35A7FFF4" w14:textId="102F76BC" w:rsidR="00360C5E" w:rsidRPr="002F4288" w:rsidRDefault="00360C5E" w:rsidP="00E73758">
      <w:pPr>
        <w:rPr>
          <w:b/>
          <w:lang w:val="en-GB"/>
        </w:rPr>
      </w:pPr>
      <w:bookmarkStart w:id="8" w:name="p21"/>
      <w:r w:rsidRPr="002F4288">
        <w:rPr>
          <w:b/>
          <w:lang w:val="en-GB"/>
        </w:rPr>
        <w:t xml:space="preserve">Proposal </w:t>
      </w:r>
      <w:r w:rsidRPr="002F4288">
        <w:rPr>
          <w:b/>
          <w:lang w:val="en-GB"/>
        </w:rPr>
        <w:fldChar w:fldCharType="begin"/>
      </w:r>
      <w:r w:rsidRPr="002F4288">
        <w:rPr>
          <w:b/>
          <w:lang w:val="en-GB"/>
        </w:rPr>
        <w:instrText xml:space="preserve"> seq prop </w:instrText>
      </w:r>
      <w:r w:rsidRPr="002F4288">
        <w:rPr>
          <w:b/>
          <w:lang w:val="en-GB"/>
        </w:rPr>
        <w:fldChar w:fldCharType="separate"/>
      </w:r>
      <w:r w:rsidR="00014262">
        <w:rPr>
          <w:b/>
          <w:noProof/>
          <w:lang w:val="en-GB"/>
        </w:rPr>
        <w:t>4</w:t>
      </w:r>
      <w:r w:rsidRPr="002F4288">
        <w:rPr>
          <w:b/>
          <w:lang w:val="en-GB"/>
        </w:rPr>
        <w:fldChar w:fldCharType="end"/>
      </w:r>
      <w:r w:rsidRPr="002F4288">
        <w:rPr>
          <w:b/>
          <w:lang w:val="en-GB"/>
        </w:rPr>
        <w:t xml:space="preserve">: Resource element </w:t>
      </w:r>
      <w:r w:rsidR="00215ABF">
        <w:rPr>
          <w:b/>
          <w:lang w:val="en-GB"/>
        </w:rPr>
        <w:t>rate matching and dynamic unused PDCCH resource reusing</w:t>
      </w:r>
      <w:r w:rsidRPr="002F4288">
        <w:rPr>
          <w:b/>
          <w:lang w:val="en-GB"/>
        </w:rPr>
        <w:t xml:space="preserve"> not considered in the initial transmission coding rate calculation.</w:t>
      </w:r>
      <w:bookmarkEnd w:id="8"/>
    </w:p>
    <w:p w14:paraId="38BD4B6C" w14:textId="2AFB28A6" w:rsidR="002F4288" w:rsidRPr="00215ABF" w:rsidRDefault="00215ABF" w:rsidP="00E73758">
      <w:pPr>
        <w:rPr>
          <w:b/>
          <w:lang w:val="en-GB"/>
        </w:rPr>
      </w:pPr>
      <w:bookmarkStart w:id="9" w:name="p4"/>
      <w:bookmarkEnd w:id="6"/>
      <w:r w:rsidRPr="00215ABF">
        <w:rPr>
          <w:b/>
          <w:lang w:val="en-GB"/>
        </w:rPr>
        <w:t xml:space="preserve">Proposal </w:t>
      </w:r>
      <w:r w:rsidRPr="00215ABF">
        <w:rPr>
          <w:b/>
          <w:lang w:val="en-GB"/>
        </w:rPr>
        <w:fldChar w:fldCharType="begin"/>
      </w:r>
      <w:r w:rsidRPr="00215ABF">
        <w:rPr>
          <w:b/>
          <w:lang w:val="en-GB"/>
        </w:rPr>
        <w:instrText xml:space="preserve"> seq prop </w:instrText>
      </w:r>
      <w:r w:rsidRPr="00215ABF">
        <w:rPr>
          <w:b/>
          <w:lang w:val="en-GB"/>
        </w:rPr>
        <w:fldChar w:fldCharType="separate"/>
      </w:r>
      <w:r w:rsidR="00014262">
        <w:rPr>
          <w:b/>
          <w:noProof/>
          <w:lang w:val="en-GB"/>
        </w:rPr>
        <w:t>5</w:t>
      </w:r>
      <w:r w:rsidRPr="00215ABF">
        <w:rPr>
          <w:b/>
          <w:lang w:val="en-GB"/>
        </w:rPr>
        <w:fldChar w:fldCharType="end"/>
      </w:r>
      <w:r w:rsidRPr="00215ABF">
        <w:rPr>
          <w:b/>
          <w:lang w:val="en-GB"/>
        </w:rPr>
        <w:t>: Use the MCS coding rate as the nominal coding rate to determine the base graph for LDPC code.</w:t>
      </w:r>
      <w:bookmarkEnd w:id="9"/>
    </w:p>
    <w:p w14:paraId="3B7A52C6" w14:textId="1E292409" w:rsidR="00FD5B11" w:rsidRPr="00FD5B11" w:rsidRDefault="00FD5B11" w:rsidP="00FD5B11">
      <w:pPr>
        <w:rPr>
          <w:b/>
        </w:rPr>
      </w:pPr>
      <w:bookmarkStart w:id="10" w:name="p7"/>
      <w:r w:rsidRPr="00FD5B11">
        <w:rPr>
          <w:b/>
        </w:rPr>
        <w:t xml:space="preserve">Proposal </w:t>
      </w:r>
      <w:r w:rsidRPr="00FD5B11">
        <w:rPr>
          <w:b/>
        </w:rPr>
        <w:fldChar w:fldCharType="begin"/>
      </w:r>
      <w:r w:rsidRPr="00FD5B11">
        <w:rPr>
          <w:b/>
        </w:rPr>
        <w:instrText xml:space="preserve"> seq prop </w:instrText>
      </w:r>
      <w:r w:rsidRPr="00FD5B11">
        <w:rPr>
          <w:b/>
        </w:rPr>
        <w:fldChar w:fldCharType="separate"/>
      </w:r>
      <w:r w:rsidR="00014262">
        <w:rPr>
          <w:b/>
          <w:noProof/>
        </w:rPr>
        <w:t>6</w:t>
      </w:r>
      <w:r w:rsidRPr="00FD5B11">
        <w:rPr>
          <w:b/>
        </w:rPr>
        <w:fldChar w:fldCharType="end"/>
      </w:r>
      <w:r w:rsidRPr="00FD5B11">
        <w:rPr>
          <w:b/>
        </w:rPr>
        <w:t>:</w:t>
      </w:r>
      <w:r>
        <w:rPr>
          <w:b/>
        </w:rPr>
        <w:t xml:space="preserve"> Base graph indication design should</w:t>
      </w:r>
      <w:r w:rsidR="00CE51FB">
        <w:rPr>
          <w:b/>
        </w:rPr>
        <w:t xml:space="preserve"> support retransmission with different TBS table entries, but</w:t>
      </w:r>
      <w:r>
        <w:rPr>
          <w:b/>
        </w:rPr>
        <w:t xml:space="preserve"> </w:t>
      </w:r>
      <w:r w:rsidR="00CE51FB">
        <w:rPr>
          <w:b/>
        </w:rPr>
        <w:t xml:space="preserve">should </w:t>
      </w:r>
      <w:r>
        <w:rPr>
          <w:b/>
        </w:rPr>
        <w:t>be robust enough to handle DCI miss detection error events.</w:t>
      </w:r>
      <w:bookmarkEnd w:id="10"/>
    </w:p>
    <w:p w14:paraId="007D8238" w14:textId="5104DE40" w:rsidR="00215ABF" w:rsidRPr="00686DA5" w:rsidRDefault="00686DA5" w:rsidP="00E73758">
      <w:pPr>
        <w:rPr>
          <w:b/>
          <w:lang w:val="en-GB"/>
        </w:rPr>
      </w:pPr>
      <w:bookmarkStart w:id="11" w:name="p9"/>
      <w:r w:rsidRPr="00686DA5">
        <w:rPr>
          <w:b/>
          <w:lang w:val="en-GB"/>
        </w:rPr>
        <w:t xml:space="preserve">Proposal </w:t>
      </w:r>
      <w:r w:rsidRPr="00686DA5">
        <w:rPr>
          <w:b/>
          <w:lang w:val="en-GB"/>
        </w:rPr>
        <w:fldChar w:fldCharType="begin"/>
      </w:r>
      <w:r w:rsidRPr="00686DA5">
        <w:rPr>
          <w:b/>
          <w:lang w:val="en-GB"/>
        </w:rPr>
        <w:instrText xml:space="preserve"> seq prop </w:instrText>
      </w:r>
      <w:r w:rsidRPr="00686DA5">
        <w:rPr>
          <w:b/>
          <w:lang w:val="en-GB"/>
        </w:rPr>
        <w:fldChar w:fldCharType="separate"/>
      </w:r>
      <w:r w:rsidR="00014262">
        <w:rPr>
          <w:b/>
          <w:noProof/>
          <w:lang w:val="en-GB"/>
        </w:rPr>
        <w:t>7</w:t>
      </w:r>
      <w:r w:rsidRPr="00686DA5">
        <w:rPr>
          <w:b/>
          <w:lang w:val="en-GB"/>
        </w:rPr>
        <w:fldChar w:fldCharType="end"/>
      </w:r>
      <w:r w:rsidRPr="00686DA5">
        <w:rPr>
          <w:b/>
          <w:lang w:val="en-GB"/>
        </w:rPr>
        <w:t>: Base graph indication can be downselected from the following alternatives</w:t>
      </w:r>
    </w:p>
    <w:p w14:paraId="3FB1BA48" w14:textId="77777777" w:rsidR="00686DA5" w:rsidRPr="00686DA5" w:rsidRDefault="00686DA5" w:rsidP="00686DA5">
      <w:pPr>
        <w:pStyle w:val="bullet"/>
        <w:rPr>
          <w:b/>
        </w:rPr>
      </w:pPr>
      <w:r w:rsidRPr="00686DA5">
        <w:rPr>
          <w:b/>
        </w:rPr>
        <w:t>Alt 1. Adding a bit in the DCI per CW to indicate the base graph used.</w:t>
      </w:r>
    </w:p>
    <w:p w14:paraId="204433C0" w14:textId="77777777" w:rsidR="00686DA5" w:rsidRPr="00686DA5" w:rsidRDefault="00686DA5" w:rsidP="00686DA5">
      <w:pPr>
        <w:pStyle w:val="bullet"/>
        <w:rPr>
          <w:b/>
        </w:rPr>
      </w:pPr>
      <w:r w:rsidRPr="00686DA5">
        <w:rPr>
          <w:b/>
        </w:rPr>
        <w:t>Alt 2. gNB makes sure the initial transmission and all retransmissions use the TBS table entries with the same base graph.</w:t>
      </w:r>
    </w:p>
    <w:p w14:paraId="73820D2F" w14:textId="77777777" w:rsidR="00686DA5" w:rsidRPr="00686DA5" w:rsidRDefault="00686DA5" w:rsidP="00686DA5">
      <w:pPr>
        <w:pStyle w:val="bullet"/>
        <w:rPr>
          <w:b/>
        </w:rPr>
      </w:pPr>
      <w:r w:rsidRPr="00686DA5">
        <w:rPr>
          <w:b/>
        </w:rPr>
        <w:t>Alt 3. TBS table design makes sure there will be no same TBS size entries with different base graphs.</w:t>
      </w:r>
    </w:p>
    <w:p w14:paraId="5F40CC5E" w14:textId="77777777" w:rsidR="00686DA5" w:rsidRPr="00686DA5" w:rsidRDefault="00686DA5" w:rsidP="00686DA5">
      <w:pPr>
        <w:pStyle w:val="bullet"/>
        <w:rPr>
          <w:b/>
        </w:rPr>
      </w:pPr>
      <w:r w:rsidRPr="00686DA5">
        <w:rPr>
          <w:b/>
        </w:rPr>
        <w:t>Alt 4. Specially designed TBS table to have both base graph options for the same TBS with the same column in the TBS table.</w:t>
      </w:r>
    </w:p>
    <w:bookmarkEnd w:id="11"/>
    <w:p w14:paraId="09339E4B" w14:textId="77777777" w:rsidR="00686DA5" w:rsidRDefault="00686DA5" w:rsidP="00E73758">
      <w:pPr>
        <w:rPr>
          <w:lang w:val="en-GB"/>
        </w:rPr>
      </w:pPr>
    </w:p>
    <w:p w14:paraId="4F332080" w14:textId="07B4A691" w:rsidR="00F16C78" w:rsidRDefault="00B9171E" w:rsidP="000F2FBA">
      <w:pPr>
        <w:pStyle w:val="Heading1"/>
      </w:pPr>
      <w:r>
        <w:t>6</w:t>
      </w:r>
      <w:bookmarkStart w:id="12" w:name="_GoBack"/>
      <w:bookmarkEnd w:id="12"/>
      <w:r w:rsidR="000F2FBA">
        <w:tab/>
        <w:t>References</w:t>
      </w:r>
    </w:p>
    <w:p w14:paraId="27B9AFC7" w14:textId="606BBDB2" w:rsidR="000F2FBA" w:rsidRPr="000F2FBA" w:rsidRDefault="000F2FBA" w:rsidP="000F2FBA">
      <w:pPr>
        <w:rPr>
          <w:lang w:val="en-GB"/>
        </w:rPr>
      </w:pPr>
      <w:r>
        <w:rPr>
          <w:lang w:val="en-GB"/>
        </w:rPr>
        <w:t>[1]</w:t>
      </w:r>
      <w:r>
        <w:rPr>
          <w:lang w:val="en-GB"/>
        </w:rPr>
        <w:tab/>
        <w:t>R1-1713442, “Discusion on TB size determination” Qualcomm, RAN1 #90</w:t>
      </w:r>
    </w:p>
    <w:p w14:paraId="0D9CB637" w14:textId="444E19A2" w:rsidR="00F16C78" w:rsidRDefault="00F16C78" w:rsidP="00E73758">
      <w:pPr>
        <w:rPr>
          <w:lang w:val="en-GB"/>
        </w:rPr>
      </w:pPr>
    </w:p>
    <w:p w14:paraId="033A2FA0" w14:textId="77777777" w:rsidR="00F16C78" w:rsidRPr="00E73758" w:rsidRDefault="00F16C78" w:rsidP="00E73758">
      <w:pPr>
        <w:rPr>
          <w:lang w:val="en-GB"/>
        </w:rPr>
      </w:pPr>
    </w:p>
    <w:sectPr w:rsidR="00F16C78" w:rsidRPr="00E73758" w:rsidSect="00E054B7">
      <w:headerReference w:type="even" r:id="rId17"/>
      <w:footerReference w:type="even" r:id="rId18"/>
      <w:footerReference w:type="default" r:id="rId19"/>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F0C740" w14:textId="77777777" w:rsidR="000B42D5" w:rsidRDefault="000B42D5">
      <w:r>
        <w:separator/>
      </w:r>
    </w:p>
  </w:endnote>
  <w:endnote w:type="continuationSeparator" w:id="0">
    <w:p w14:paraId="13E070F0" w14:textId="77777777" w:rsidR="000B42D5" w:rsidRDefault="000B42D5">
      <w:r>
        <w:continuationSeparator/>
      </w:r>
    </w:p>
  </w:endnote>
  <w:endnote w:type="continuationNotice" w:id="1">
    <w:p w14:paraId="1179AEA2" w14:textId="77777777" w:rsidR="000B42D5" w:rsidRDefault="000B42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23873" w14:textId="77777777" w:rsidR="00976E39" w:rsidRDefault="00976E3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976E39" w:rsidRDefault="00976E3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9E23B" w14:textId="50B96DC1" w:rsidR="00976E39" w:rsidRDefault="00976E3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9171E">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9171E">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88B4AE" w14:textId="77777777" w:rsidR="000B42D5" w:rsidRDefault="000B42D5">
      <w:r>
        <w:separator/>
      </w:r>
    </w:p>
  </w:footnote>
  <w:footnote w:type="continuationSeparator" w:id="0">
    <w:p w14:paraId="5C18D736" w14:textId="77777777" w:rsidR="000B42D5" w:rsidRDefault="000B42D5">
      <w:r>
        <w:continuationSeparator/>
      </w:r>
    </w:p>
  </w:footnote>
  <w:footnote w:type="continuationNotice" w:id="1">
    <w:p w14:paraId="2175DFBB" w14:textId="77777777" w:rsidR="000B42D5" w:rsidRDefault="000B42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188DA" w14:textId="77777777" w:rsidR="00976E39" w:rsidRDefault="00976E3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FE7B35"/>
    <w:multiLevelType w:val="hybridMultilevel"/>
    <w:tmpl w:val="D9A06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2D011D"/>
    <w:multiLevelType w:val="hybridMultilevel"/>
    <w:tmpl w:val="B50C37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183D34"/>
    <w:multiLevelType w:val="hybridMultilevel"/>
    <w:tmpl w:val="652CDF68"/>
    <w:lvl w:ilvl="0" w:tplc="2454FEDE">
      <w:start w:val="1"/>
      <w:numFmt w:val="bullet"/>
      <w:lvlText w:val="•"/>
      <w:lvlJc w:val="left"/>
      <w:pPr>
        <w:tabs>
          <w:tab w:val="num" w:pos="360"/>
        </w:tabs>
        <w:ind w:left="360" w:hanging="360"/>
      </w:pPr>
      <w:rPr>
        <w:rFonts w:ascii="Arial" w:hAnsi="Arial" w:hint="default"/>
      </w:rPr>
    </w:lvl>
    <w:lvl w:ilvl="1" w:tplc="4E740ABA">
      <w:numFmt w:val="bullet"/>
      <w:lvlText w:val="–"/>
      <w:lvlJc w:val="left"/>
      <w:pPr>
        <w:tabs>
          <w:tab w:val="num" w:pos="1080"/>
        </w:tabs>
        <w:ind w:left="1080" w:hanging="360"/>
      </w:pPr>
      <w:rPr>
        <w:rFonts w:ascii="Arial" w:hAnsi="Arial" w:hint="default"/>
      </w:rPr>
    </w:lvl>
    <w:lvl w:ilvl="2" w:tplc="DD9C4200">
      <w:start w:val="1"/>
      <w:numFmt w:val="bullet"/>
      <w:lvlText w:val="•"/>
      <w:lvlJc w:val="left"/>
      <w:pPr>
        <w:tabs>
          <w:tab w:val="num" w:pos="1800"/>
        </w:tabs>
        <w:ind w:left="1800" w:hanging="360"/>
      </w:pPr>
      <w:rPr>
        <w:rFonts w:ascii="Arial" w:hAnsi="Arial" w:hint="default"/>
      </w:rPr>
    </w:lvl>
    <w:lvl w:ilvl="3" w:tplc="84181230" w:tentative="1">
      <w:start w:val="1"/>
      <w:numFmt w:val="bullet"/>
      <w:lvlText w:val="•"/>
      <w:lvlJc w:val="left"/>
      <w:pPr>
        <w:tabs>
          <w:tab w:val="num" w:pos="2520"/>
        </w:tabs>
        <w:ind w:left="2520" w:hanging="360"/>
      </w:pPr>
      <w:rPr>
        <w:rFonts w:ascii="Arial" w:hAnsi="Arial" w:hint="default"/>
      </w:rPr>
    </w:lvl>
    <w:lvl w:ilvl="4" w:tplc="105C1530" w:tentative="1">
      <w:start w:val="1"/>
      <w:numFmt w:val="bullet"/>
      <w:lvlText w:val="•"/>
      <w:lvlJc w:val="left"/>
      <w:pPr>
        <w:tabs>
          <w:tab w:val="num" w:pos="3240"/>
        </w:tabs>
        <w:ind w:left="3240" w:hanging="360"/>
      </w:pPr>
      <w:rPr>
        <w:rFonts w:ascii="Arial" w:hAnsi="Arial" w:hint="default"/>
      </w:rPr>
    </w:lvl>
    <w:lvl w:ilvl="5" w:tplc="2E745C68" w:tentative="1">
      <w:start w:val="1"/>
      <w:numFmt w:val="bullet"/>
      <w:lvlText w:val="•"/>
      <w:lvlJc w:val="left"/>
      <w:pPr>
        <w:tabs>
          <w:tab w:val="num" w:pos="3960"/>
        </w:tabs>
        <w:ind w:left="3960" w:hanging="360"/>
      </w:pPr>
      <w:rPr>
        <w:rFonts w:ascii="Arial" w:hAnsi="Arial" w:hint="default"/>
      </w:rPr>
    </w:lvl>
    <w:lvl w:ilvl="6" w:tplc="9AC289E8" w:tentative="1">
      <w:start w:val="1"/>
      <w:numFmt w:val="bullet"/>
      <w:lvlText w:val="•"/>
      <w:lvlJc w:val="left"/>
      <w:pPr>
        <w:tabs>
          <w:tab w:val="num" w:pos="4680"/>
        </w:tabs>
        <w:ind w:left="4680" w:hanging="360"/>
      </w:pPr>
      <w:rPr>
        <w:rFonts w:ascii="Arial" w:hAnsi="Arial" w:hint="default"/>
      </w:rPr>
    </w:lvl>
    <w:lvl w:ilvl="7" w:tplc="EFD438DE" w:tentative="1">
      <w:start w:val="1"/>
      <w:numFmt w:val="bullet"/>
      <w:lvlText w:val="•"/>
      <w:lvlJc w:val="left"/>
      <w:pPr>
        <w:tabs>
          <w:tab w:val="num" w:pos="5400"/>
        </w:tabs>
        <w:ind w:left="5400" w:hanging="360"/>
      </w:pPr>
      <w:rPr>
        <w:rFonts w:ascii="Arial" w:hAnsi="Arial" w:hint="default"/>
      </w:rPr>
    </w:lvl>
    <w:lvl w:ilvl="8" w:tplc="246A382C"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F20484F"/>
    <w:multiLevelType w:val="hybridMultilevel"/>
    <w:tmpl w:val="ECA07DE4"/>
    <w:lvl w:ilvl="0" w:tplc="2A5C724E">
      <w:start w:val="1"/>
      <w:numFmt w:val="bullet"/>
      <w:lvlText w:val=""/>
      <w:lvlJc w:val="left"/>
      <w:pPr>
        <w:ind w:left="2952" w:hanging="360"/>
      </w:pPr>
      <w:rPr>
        <w:rFonts w:ascii="Symbol" w:hAnsi="Symbol" w:hint="default"/>
      </w:rPr>
    </w:lvl>
    <w:lvl w:ilvl="1" w:tplc="04090003">
      <w:start w:val="1"/>
      <w:numFmt w:val="bullet"/>
      <w:lvlText w:val="o"/>
      <w:lvlJc w:val="left"/>
      <w:pPr>
        <w:ind w:left="3776" w:hanging="360"/>
      </w:pPr>
      <w:rPr>
        <w:rFonts w:ascii="Courier New" w:hAnsi="Courier New" w:cs="Courier New" w:hint="default"/>
      </w:rPr>
    </w:lvl>
    <w:lvl w:ilvl="2" w:tplc="04090005" w:tentative="1">
      <w:start w:val="1"/>
      <w:numFmt w:val="bullet"/>
      <w:lvlText w:val=""/>
      <w:lvlJc w:val="left"/>
      <w:pPr>
        <w:ind w:left="4496" w:hanging="360"/>
      </w:pPr>
      <w:rPr>
        <w:rFonts w:ascii="Wingdings" w:hAnsi="Wingdings" w:hint="default"/>
      </w:rPr>
    </w:lvl>
    <w:lvl w:ilvl="3" w:tplc="04090001" w:tentative="1">
      <w:start w:val="1"/>
      <w:numFmt w:val="bullet"/>
      <w:lvlText w:val=""/>
      <w:lvlJc w:val="left"/>
      <w:pPr>
        <w:ind w:left="5216" w:hanging="360"/>
      </w:pPr>
      <w:rPr>
        <w:rFonts w:ascii="Symbol" w:hAnsi="Symbol" w:hint="default"/>
      </w:rPr>
    </w:lvl>
    <w:lvl w:ilvl="4" w:tplc="04090003" w:tentative="1">
      <w:start w:val="1"/>
      <w:numFmt w:val="bullet"/>
      <w:lvlText w:val="o"/>
      <w:lvlJc w:val="left"/>
      <w:pPr>
        <w:ind w:left="5936" w:hanging="360"/>
      </w:pPr>
      <w:rPr>
        <w:rFonts w:ascii="Courier New" w:hAnsi="Courier New" w:cs="Courier New" w:hint="default"/>
      </w:rPr>
    </w:lvl>
    <w:lvl w:ilvl="5" w:tplc="04090005" w:tentative="1">
      <w:start w:val="1"/>
      <w:numFmt w:val="bullet"/>
      <w:lvlText w:val=""/>
      <w:lvlJc w:val="left"/>
      <w:pPr>
        <w:ind w:left="6656" w:hanging="360"/>
      </w:pPr>
      <w:rPr>
        <w:rFonts w:ascii="Wingdings" w:hAnsi="Wingdings" w:hint="default"/>
      </w:rPr>
    </w:lvl>
    <w:lvl w:ilvl="6" w:tplc="04090001" w:tentative="1">
      <w:start w:val="1"/>
      <w:numFmt w:val="bullet"/>
      <w:lvlText w:val=""/>
      <w:lvlJc w:val="left"/>
      <w:pPr>
        <w:ind w:left="7376" w:hanging="360"/>
      </w:pPr>
      <w:rPr>
        <w:rFonts w:ascii="Symbol" w:hAnsi="Symbol" w:hint="default"/>
      </w:rPr>
    </w:lvl>
    <w:lvl w:ilvl="7" w:tplc="04090003" w:tentative="1">
      <w:start w:val="1"/>
      <w:numFmt w:val="bullet"/>
      <w:lvlText w:val="o"/>
      <w:lvlJc w:val="left"/>
      <w:pPr>
        <w:ind w:left="8096" w:hanging="360"/>
      </w:pPr>
      <w:rPr>
        <w:rFonts w:ascii="Courier New" w:hAnsi="Courier New" w:cs="Courier New" w:hint="default"/>
      </w:rPr>
    </w:lvl>
    <w:lvl w:ilvl="8" w:tplc="04090005" w:tentative="1">
      <w:start w:val="1"/>
      <w:numFmt w:val="bullet"/>
      <w:lvlText w:val=""/>
      <w:lvlJc w:val="left"/>
      <w:pPr>
        <w:ind w:left="8816" w:hanging="360"/>
      </w:pPr>
      <w:rPr>
        <w:rFonts w:ascii="Wingdings" w:hAnsi="Wingdings" w:hint="default"/>
      </w:rPr>
    </w:lvl>
  </w:abstractNum>
  <w:abstractNum w:abstractNumId="4" w15:restartNumberingAfterBreak="0">
    <w:nsid w:val="24587D22"/>
    <w:multiLevelType w:val="hybridMultilevel"/>
    <w:tmpl w:val="B1684E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DD1A3C"/>
    <w:multiLevelType w:val="hybridMultilevel"/>
    <w:tmpl w:val="63C62EA6"/>
    <w:lvl w:ilvl="0" w:tplc="0CD225B6">
      <w:start w:val="1"/>
      <w:numFmt w:val="bullet"/>
      <w:lvlText w:val="•"/>
      <w:lvlJc w:val="left"/>
      <w:pPr>
        <w:tabs>
          <w:tab w:val="num" w:pos="720"/>
        </w:tabs>
        <w:ind w:left="720" w:hanging="360"/>
      </w:pPr>
      <w:rPr>
        <w:rFonts w:ascii="Arial" w:hAnsi="Arial" w:hint="default"/>
      </w:rPr>
    </w:lvl>
    <w:lvl w:ilvl="1" w:tplc="206074EC">
      <w:start w:val="1092"/>
      <w:numFmt w:val="bullet"/>
      <w:lvlText w:val="•"/>
      <w:lvlJc w:val="left"/>
      <w:pPr>
        <w:tabs>
          <w:tab w:val="num" w:pos="1440"/>
        </w:tabs>
        <w:ind w:left="1440" w:hanging="360"/>
      </w:pPr>
      <w:rPr>
        <w:rFonts w:ascii="Arial" w:hAnsi="Arial" w:hint="default"/>
      </w:rPr>
    </w:lvl>
    <w:lvl w:ilvl="2" w:tplc="ED4C36E6">
      <w:start w:val="1092"/>
      <w:numFmt w:val="bullet"/>
      <w:lvlText w:val="•"/>
      <w:lvlJc w:val="left"/>
      <w:pPr>
        <w:tabs>
          <w:tab w:val="num" w:pos="2160"/>
        </w:tabs>
        <w:ind w:left="2160" w:hanging="360"/>
      </w:pPr>
      <w:rPr>
        <w:rFonts w:ascii="Arial" w:hAnsi="Arial" w:hint="default"/>
      </w:rPr>
    </w:lvl>
    <w:lvl w:ilvl="3" w:tplc="7DC45FB8">
      <w:start w:val="1"/>
      <w:numFmt w:val="bullet"/>
      <w:lvlText w:val="•"/>
      <w:lvlJc w:val="left"/>
      <w:pPr>
        <w:tabs>
          <w:tab w:val="num" w:pos="2880"/>
        </w:tabs>
        <w:ind w:left="2880" w:hanging="360"/>
      </w:pPr>
      <w:rPr>
        <w:rFonts w:ascii="Arial" w:hAnsi="Arial" w:hint="default"/>
      </w:rPr>
    </w:lvl>
    <w:lvl w:ilvl="4" w:tplc="7CD80FFA">
      <w:start w:val="1"/>
      <w:numFmt w:val="bullet"/>
      <w:lvlText w:val="•"/>
      <w:lvlJc w:val="left"/>
      <w:pPr>
        <w:tabs>
          <w:tab w:val="num" w:pos="3600"/>
        </w:tabs>
        <w:ind w:left="3600" w:hanging="360"/>
      </w:pPr>
      <w:rPr>
        <w:rFonts w:ascii="Arial" w:hAnsi="Arial" w:hint="default"/>
      </w:rPr>
    </w:lvl>
    <w:lvl w:ilvl="5" w:tplc="4E1ABEB4">
      <w:start w:val="1"/>
      <w:numFmt w:val="bullet"/>
      <w:lvlText w:val="•"/>
      <w:lvlJc w:val="left"/>
      <w:pPr>
        <w:tabs>
          <w:tab w:val="num" w:pos="4320"/>
        </w:tabs>
        <w:ind w:left="4320" w:hanging="360"/>
      </w:pPr>
      <w:rPr>
        <w:rFonts w:ascii="Arial" w:hAnsi="Arial" w:hint="default"/>
      </w:rPr>
    </w:lvl>
    <w:lvl w:ilvl="6" w:tplc="70784028" w:tentative="1">
      <w:start w:val="1"/>
      <w:numFmt w:val="bullet"/>
      <w:lvlText w:val="•"/>
      <w:lvlJc w:val="left"/>
      <w:pPr>
        <w:tabs>
          <w:tab w:val="num" w:pos="5040"/>
        </w:tabs>
        <w:ind w:left="5040" w:hanging="360"/>
      </w:pPr>
      <w:rPr>
        <w:rFonts w:ascii="Arial" w:hAnsi="Arial" w:hint="default"/>
      </w:rPr>
    </w:lvl>
    <w:lvl w:ilvl="7" w:tplc="BD726E86" w:tentative="1">
      <w:start w:val="1"/>
      <w:numFmt w:val="bullet"/>
      <w:lvlText w:val="•"/>
      <w:lvlJc w:val="left"/>
      <w:pPr>
        <w:tabs>
          <w:tab w:val="num" w:pos="5760"/>
        </w:tabs>
        <w:ind w:left="5760" w:hanging="360"/>
      </w:pPr>
      <w:rPr>
        <w:rFonts w:ascii="Arial" w:hAnsi="Arial" w:hint="default"/>
      </w:rPr>
    </w:lvl>
    <w:lvl w:ilvl="8" w:tplc="A7B8B19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65CB63D8"/>
    <w:multiLevelType w:val="hybridMultilevel"/>
    <w:tmpl w:val="A99C3D4E"/>
    <w:lvl w:ilvl="0" w:tplc="04090001">
      <w:start w:val="1"/>
      <w:numFmt w:val="bullet"/>
      <w:pStyle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7"/>
  </w:num>
  <w:num w:numId="4">
    <w:abstractNumId w:val="5"/>
  </w:num>
  <w:num w:numId="5">
    <w:abstractNumId w:val="0"/>
  </w:num>
  <w:num w:numId="6">
    <w:abstractNumId w:val="1"/>
  </w:num>
  <w:num w:numId="7">
    <w:abstractNumId w:val="4"/>
  </w:num>
  <w:num w:numId="8">
    <w:abstractNumId w:val="2"/>
  </w:num>
  <w:num w:numId="9">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F5D"/>
    <w:rsid w:val="000129BA"/>
    <w:rsid w:val="000135FF"/>
    <w:rsid w:val="000136A3"/>
    <w:rsid w:val="00014262"/>
    <w:rsid w:val="0001441C"/>
    <w:rsid w:val="00014DD7"/>
    <w:rsid w:val="00014E0B"/>
    <w:rsid w:val="00015530"/>
    <w:rsid w:val="00015923"/>
    <w:rsid w:val="00015962"/>
    <w:rsid w:val="000162B2"/>
    <w:rsid w:val="000164DE"/>
    <w:rsid w:val="00016B4C"/>
    <w:rsid w:val="00017013"/>
    <w:rsid w:val="00017047"/>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27A8C"/>
    <w:rsid w:val="000300FE"/>
    <w:rsid w:val="00030F08"/>
    <w:rsid w:val="00030F74"/>
    <w:rsid w:val="000319C1"/>
    <w:rsid w:val="00031EDD"/>
    <w:rsid w:val="00032E45"/>
    <w:rsid w:val="00033796"/>
    <w:rsid w:val="000349B7"/>
    <w:rsid w:val="000349E0"/>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782"/>
    <w:rsid w:val="00053A47"/>
    <w:rsid w:val="00054F5A"/>
    <w:rsid w:val="00055B35"/>
    <w:rsid w:val="0005602E"/>
    <w:rsid w:val="00056057"/>
    <w:rsid w:val="000565AE"/>
    <w:rsid w:val="000570A3"/>
    <w:rsid w:val="000570E2"/>
    <w:rsid w:val="0005759C"/>
    <w:rsid w:val="00057F6C"/>
    <w:rsid w:val="00060BE0"/>
    <w:rsid w:val="00060D34"/>
    <w:rsid w:val="00060FDB"/>
    <w:rsid w:val="000612C5"/>
    <w:rsid w:val="00062963"/>
    <w:rsid w:val="00062CA8"/>
    <w:rsid w:val="00063E21"/>
    <w:rsid w:val="00063F57"/>
    <w:rsid w:val="0006549C"/>
    <w:rsid w:val="0006633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20C9"/>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3582"/>
    <w:rsid w:val="00094EF2"/>
    <w:rsid w:val="0009559C"/>
    <w:rsid w:val="0009709B"/>
    <w:rsid w:val="000A0D72"/>
    <w:rsid w:val="000A0E99"/>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F37"/>
    <w:rsid w:val="000B42D5"/>
    <w:rsid w:val="000B546F"/>
    <w:rsid w:val="000B5E4A"/>
    <w:rsid w:val="000B68FD"/>
    <w:rsid w:val="000B6D3D"/>
    <w:rsid w:val="000B7447"/>
    <w:rsid w:val="000B7D5E"/>
    <w:rsid w:val="000C0866"/>
    <w:rsid w:val="000C0CA3"/>
    <w:rsid w:val="000C0CEC"/>
    <w:rsid w:val="000C0D3F"/>
    <w:rsid w:val="000C1C35"/>
    <w:rsid w:val="000C22F2"/>
    <w:rsid w:val="000C2391"/>
    <w:rsid w:val="000C2394"/>
    <w:rsid w:val="000C29C0"/>
    <w:rsid w:val="000C2CAD"/>
    <w:rsid w:val="000C2DC9"/>
    <w:rsid w:val="000C3BEC"/>
    <w:rsid w:val="000C40EA"/>
    <w:rsid w:val="000C45FF"/>
    <w:rsid w:val="000C6447"/>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736"/>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555"/>
    <w:rsid w:val="000E564D"/>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2FBA"/>
    <w:rsid w:val="000F4734"/>
    <w:rsid w:val="000F4F44"/>
    <w:rsid w:val="000F6974"/>
    <w:rsid w:val="000F6AFA"/>
    <w:rsid w:val="000F6DDE"/>
    <w:rsid w:val="000F7452"/>
    <w:rsid w:val="000F794D"/>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6B51"/>
    <w:rsid w:val="00117957"/>
    <w:rsid w:val="00117C13"/>
    <w:rsid w:val="00120545"/>
    <w:rsid w:val="00121412"/>
    <w:rsid w:val="00123993"/>
    <w:rsid w:val="0012467D"/>
    <w:rsid w:val="00124A01"/>
    <w:rsid w:val="00124D4C"/>
    <w:rsid w:val="00125039"/>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399A"/>
    <w:rsid w:val="001344C1"/>
    <w:rsid w:val="0013521B"/>
    <w:rsid w:val="00135829"/>
    <w:rsid w:val="001358F4"/>
    <w:rsid w:val="00135911"/>
    <w:rsid w:val="00135E0A"/>
    <w:rsid w:val="0013612A"/>
    <w:rsid w:val="00136359"/>
    <w:rsid w:val="00136AAD"/>
    <w:rsid w:val="00136EED"/>
    <w:rsid w:val="00137280"/>
    <w:rsid w:val="00137288"/>
    <w:rsid w:val="00137480"/>
    <w:rsid w:val="0014082B"/>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0577"/>
    <w:rsid w:val="00150616"/>
    <w:rsid w:val="00151516"/>
    <w:rsid w:val="00151805"/>
    <w:rsid w:val="00151D5F"/>
    <w:rsid w:val="001529E0"/>
    <w:rsid w:val="00152BA8"/>
    <w:rsid w:val="00153A6B"/>
    <w:rsid w:val="00153E38"/>
    <w:rsid w:val="001544AB"/>
    <w:rsid w:val="0015452C"/>
    <w:rsid w:val="00154BE2"/>
    <w:rsid w:val="00155732"/>
    <w:rsid w:val="00155E24"/>
    <w:rsid w:val="001560ED"/>
    <w:rsid w:val="001563F1"/>
    <w:rsid w:val="00156E79"/>
    <w:rsid w:val="001572A5"/>
    <w:rsid w:val="0015737A"/>
    <w:rsid w:val="00157847"/>
    <w:rsid w:val="00160786"/>
    <w:rsid w:val="00160A67"/>
    <w:rsid w:val="00161AEB"/>
    <w:rsid w:val="00162262"/>
    <w:rsid w:val="00162BD5"/>
    <w:rsid w:val="001630E4"/>
    <w:rsid w:val="001639BC"/>
    <w:rsid w:val="0016465B"/>
    <w:rsid w:val="00164790"/>
    <w:rsid w:val="001647FA"/>
    <w:rsid w:val="00166868"/>
    <w:rsid w:val="001669CF"/>
    <w:rsid w:val="00167857"/>
    <w:rsid w:val="00167C50"/>
    <w:rsid w:val="00167ECA"/>
    <w:rsid w:val="00172414"/>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3A98"/>
    <w:rsid w:val="00185E59"/>
    <w:rsid w:val="001907C8"/>
    <w:rsid w:val="00191727"/>
    <w:rsid w:val="00191EBF"/>
    <w:rsid w:val="00191F2D"/>
    <w:rsid w:val="001925E5"/>
    <w:rsid w:val="001934FD"/>
    <w:rsid w:val="0019377B"/>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4EEA"/>
    <w:rsid w:val="001A5517"/>
    <w:rsid w:val="001A600A"/>
    <w:rsid w:val="001A65A6"/>
    <w:rsid w:val="001A6EA1"/>
    <w:rsid w:val="001A7326"/>
    <w:rsid w:val="001A7697"/>
    <w:rsid w:val="001A76CF"/>
    <w:rsid w:val="001B00B2"/>
    <w:rsid w:val="001B023D"/>
    <w:rsid w:val="001B0257"/>
    <w:rsid w:val="001B0989"/>
    <w:rsid w:val="001B1670"/>
    <w:rsid w:val="001B23B3"/>
    <w:rsid w:val="001B2993"/>
    <w:rsid w:val="001B2DDB"/>
    <w:rsid w:val="001B34E4"/>
    <w:rsid w:val="001B3A29"/>
    <w:rsid w:val="001B454C"/>
    <w:rsid w:val="001B4E04"/>
    <w:rsid w:val="001B5332"/>
    <w:rsid w:val="001B6D3D"/>
    <w:rsid w:val="001B70CF"/>
    <w:rsid w:val="001B78D5"/>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E6C"/>
    <w:rsid w:val="001D333B"/>
    <w:rsid w:val="001D506F"/>
    <w:rsid w:val="001D57BC"/>
    <w:rsid w:val="001D59DC"/>
    <w:rsid w:val="001D6EEB"/>
    <w:rsid w:val="001D6F30"/>
    <w:rsid w:val="001D7260"/>
    <w:rsid w:val="001D7816"/>
    <w:rsid w:val="001D784C"/>
    <w:rsid w:val="001D7B96"/>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4A0"/>
    <w:rsid w:val="001F5B65"/>
    <w:rsid w:val="001F5BFA"/>
    <w:rsid w:val="001F5C95"/>
    <w:rsid w:val="001F5CEC"/>
    <w:rsid w:val="001F5E73"/>
    <w:rsid w:val="001F5ED8"/>
    <w:rsid w:val="001F6053"/>
    <w:rsid w:val="001F64CE"/>
    <w:rsid w:val="001F6A95"/>
    <w:rsid w:val="001F6D33"/>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3C10"/>
    <w:rsid w:val="00213F4E"/>
    <w:rsid w:val="00213F9D"/>
    <w:rsid w:val="00214132"/>
    <w:rsid w:val="00214E0D"/>
    <w:rsid w:val="0021517F"/>
    <w:rsid w:val="002159DE"/>
    <w:rsid w:val="00215ABF"/>
    <w:rsid w:val="002165F9"/>
    <w:rsid w:val="00216685"/>
    <w:rsid w:val="00217206"/>
    <w:rsid w:val="00217441"/>
    <w:rsid w:val="002202EC"/>
    <w:rsid w:val="00221C5D"/>
    <w:rsid w:val="002226B5"/>
    <w:rsid w:val="00222DEC"/>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5F2E"/>
    <w:rsid w:val="00236F71"/>
    <w:rsid w:val="00237779"/>
    <w:rsid w:val="00237D3F"/>
    <w:rsid w:val="00237E83"/>
    <w:rsid w:val="002400D6"/>
    <w:rsid w:val="002416E8"/>
    <w:rsid w:val="00241DAF"/>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3EA5"/>
    <w:rsid w:val="002562E9"/>
    <w:rsid w:val="00256B8F"/>
    <w:rsid w:val="00257A62"/>
    <w:rsid w:val="002605CB"/>
    <w:rsid w:val="0026075E"/>
    <w:rsid w:val="00260998"/>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074B"/>
    <w:rsid w:val="002727C8"/>
    <w:rsid w:val="00272FEB"/>
    <w:rsid w:val="002738C9"/>
    <w:rsid w:val="00273B2D"/>
    <w:rsid w:val="00273CFB"/>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5C43"/>
    <w:rsid w:val="0029639B"/>
    <w:rsid w:val="00296FD8"/>
    <w:rsid w:val="0029743A"/>
    <w:rsid w:val="00297DBE"/>
    <w:rsid w:val="002A0724"/>
    <w:rsid w:val="002A07C1"/>
    <w:rsid w:val="002A08EC"/>
    <w:rsid w:val="002A1DF0"/>
    <w:rsid w:val="002A205B"/>
    <w:rsid w:val="002A3668"/>
    <w:rsid w:val="002A53DF"/>
    <w:rsid w:val="002B03CD"/>
    <w:rsid w:val="002B07BF"/>
    <w:rsid w:val="002B0805"/>
    <w:rsid w:val="002B0FD5"/>
    <w:rsid w:val="002B11A0"/>
    <w:rsid w:val="002B26D2"/>
    <w:rsid w:val="002B2C92"/>
    <w:rsid w:val="002B318B"/>
    <w:rsid w:val="002B3BD3"/>
    <w:rsid w:val="002B3D90"/>
    <w:rsid w:val="002B475D"/>
    <w:rsid w:val="002B4B75"/>
    <w:rsid w:val="002B4FE2"/>
    <w:rsid w:val="002B7C8F"/>
    <w:rsid w:val="002B7FB1"/>
    <w:rsid w:val="002C0364"/>
    <w:rsid w:val="002C0397"/>
    <w:rsid w:val="002C0779"/>
    <w:rsid w:val="002C138C"/>
    <w:rsid w:val="002C203A"/>
    <w:rsid w:val="002C2FCD"/>
    <w:rsid w:val="002C36BB"/>
    <w:rsid w:val="002C3AE4"/>
    <w:rsid w:val="002C4749"/>
    <w:rsid w:val="002C4CB7"/>
    <w:rsid w:val="002C5620"/>
    <w:rsid w:val="002C57BB"/>
    <w:rsid w:val="002C61E0"/>
    <w:rsid w:val="002C6221"/>
    <w:rsid w:val="002C6374"/>
    <w:rsid w:val="002C7B03"/>
    <w:rsid w:val="002D0657"/>
    <w:rsid w:val="002D08DC"/>
    <w:rsid w:val="002D13B7"/>
    <w:rsid w:val="002D20FC"/>
    <w:rsid w:val="002D26FA"/>
    <w:rsid w:val="002D2B4E"/>
    <w:rsid w:val="002D4746"/>
    <w:rsid w:val="002D47AE"/>
    <w:rsid w:val="002D4E37"/>
    <w:rsid w:val="002D52E0"/>
    <w:rsid w:val="002D5A7E"/>
    <w:rsid w:val="002D68C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590"/>
    <w:rsid w:val="002F1E03"/>
    <w:rsid w:val="002F2AE0"/>
    <w:rsid w:val="002F2FB7"/>
    <w:rsid w:val="002F3827"/>
    <w:rsid w:val="002F413F"/>
    <w:rsid w:val="002F4288"/>
    <w:rsid w:val="002F44AD"/>
    <w:rsid w:val="002F45D3"/>
    <w:rsid w:val="002F5C18"/>
    <w:rsid w:val="002F5FDA"/>
    <w:rsid w:val="002F7D48"/>
    <w:rsid w:val="002F7D9F"/>
    <w:rsid w:val="0030000D"/>
    <w:rsid w:val="003005AC"/>
    <w:rsid w:val="00300A26"/>
    <w:rsid w:val="003011C0"/>
    <w:rsid w:val="0030121F"/>
    <w:rsid w:val="00301890"/>
    <w:rsid w:val="003024DE"/>
    <w:rsid w:val="00302701"/>
    <w:rsid w:val="0030305A"/>
    <w:rsid w:val="00303442"/>
    <w:rsid w:val="003044B9"/>
    <w:rsid w:val="003073BB"/>
    <w:rsid w:val="00307683"/>
    <w:rsid w:val="00307B27"/>
    <w:rsid w:val="00307D3F"/>
    <w:rsid w:val="0031013F"/>
    <w:rsid w:val="0031058E"/>
    <w:rsid w:val="00311941"/>
    <w:rsid w:val="003123EA"/>
    <w:rsid w:val="003125FA"/>
    <w:rsid w:val="00313C4F"/>
    <w:rsid w:val="00314280"/>
    <w:rsid w:val="003158FE"/>
    <w:rsid w:val="00315DD9"/>
    <w:rsid w:val="00316717"/>
    <w:rsid w:val="00317050"/>
    <w:rsid w:val="00320B56"/>
    <w:rsid w:val="00320F94"/>
    <w:rsid w:val="003230B0"/>
    <w:rsid w:val="00325F5C"/>
    <w:rsid w:val="003268CF"/>
    <w:rsid w:val="00326974"/>
    <w:rsid w:val="00327A0A"/>
    <w:rsid w:val="0033007D"/>
    <w:rsid w:val="0033027D"/>
    <w:rsid w:val="003308C4"/>
    <w:rsid w:val="00330DE8"/>
    <w:rsid w:val="00331EDC"/>
    <w:rsid w:val="003323F3"/>
    <w:rsid w:val="0033306E"/>
    <w:rsid w:val="00333DC8"/>
    <w:rsid w:val="00335250"/>
    <w:rsid w:val="0033592C"/>
    <w:rsid w:val="00335B9C"/>
    <w:rsid w:val="00336164"/>
    <w:rsid w:val="0034150F"/>
    <w:rsid w:val="0034298C"/>
    <w:rsid w:val="0034305B"/>
    <w:rsid w:val="00343E84"/>
    <w:rsid w:val="003444EB"/>
    <w:rsid w:val="00344778"/>
    <w:rsid w:val="00344F78"/>
    <w:rsid w:val="0034511B"/>
    <w:rsid w:val="00345740"/>
    <w:rsid w:val="00346F28"/>
    <w:rsid w:val="003504EC"/>
    <w:rsid w:val="003509B5"/>
    <w:rsid w:val="00350EF6"/>
    <w:rsid w:val="00351118"/>
    <w:rsid w:val="0035244F"/>
    <w:rsid w:val="00352DAE"/>
    <w:rsid w:val="00353295"/>
    <w:rsid w:val="003539B2"/>
    <w:rsid w:val="00353A56"/>
    <w:rsid w:val="00353D7D"/>
    <w:rsid w:val="0035414B"/>
    <w:rsid w:val="00354387"/>
    <w:rsid w:val="00354D13"/>
    <w:rsid w:val="00355C3F"/>
    <w:rsid w:val="00355DD1"/>
    <w:rsid w:val="00356CEC"/>
    <w:rsid w:val="00357034"/>
    <w:rsid w:val="00357522"/>
    <w:rsid w:val="003576D7"/>
    <w:rsid w:val="00357712"/>
    <w:rsid w:val="00360C5E"/>
    <w:rsid w:val="0036185C"/>
    <w:rsid w:val="00361AFA"/>
    <w:rsid w:val="00362C5A"/>
    <w:rsid w:val="00362FFF"/>
    <w:rsid w:val="00364283"/>
    <w:rsid w:val="003643CE"/>
    <w:rsid w:val="00364C7A"/>
    <w:rsid w:val="0036641B"/>
    <w:rsid w:val="003670A6"/>
    <w:rsid w:val="00367CE6"/>
    <w:rsid w:val="00370042"/>
    <w:rsid w:val="00370285"/>
    <w:rsid w:val="003703C5"/>
    <w:rsid w:val="00370EFD"/>
    <w:rsid w:val="0037164C"/>
    <w:rsid w:val="003719F5"/>
    <w:rsid w:val="00372A6B"/>
    <w:rsid w:val="003741D2"/>
    <w:rsid w:val="00374804"/>
    <w:rsid w:val="00374B96"/>
    <w:rsid w:val="00374F06"/>
    <w:rsid w:val="00375BD2"/>
    <w:rsid w:val="003762D5"/>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D4B"/>
    <w:rsid w:val="003848D9"/>
    <w:rsid w:val="00385DBB"/>
    <w:rsid w:val="00386B71"/>
    <w:rsid w:val="003871D9"/>
    <w:rsid w:val="00387771"/>
    <w:rsid w:val="00387B4D"/>
    <w:rsid w:val="003908C2"/>
    <w:rsid w:val="0039178D"/>
    <w:rsid w:val="00392C0A"/>
    <w:rsid w:val="00393367"/>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41B3"/>
    <w:rsid w:val="003A42BB"/>
    <w:rsid w:val="003A5125"/>
    <w:rsid w:val="003A590E"/>
    <w:rsid w:val="003A5CA5"/>
    <w:rsid w:val="003A6D8E"/>
    <w:rsid w:val="003A7789"/>
    <w:rsid w:val="003A7AF7"/>
    <w:rsid w:val="003B0B4D"/>
    <w:rsid w:val="003B1041"/>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399"/>
    <w:rsid w:val="003C5FE4"/>
    <w:rsid w:val="003C6E9F"/>
    <w:rsid w:val="003C7CE7"/>
    <w:rsid w:val="003D0246"/>
    <w:rsid w:val="003D09DA"/>
    <w:rsid w:val="003D0A1E"/>
    <w:rsid w:val="003D12AF"/>
    <w:rsid w:val="003D132A"/>
    <w:rsid w:val="003D2339"/>
    <w:rsid w:val="003D26AA"/>
    <w:rsid w:val="003D35CB"/>
    <w:rsid w:val="003D3C11"/>
    <w:rsid w:val="003D4350"/>
    <w:rsid w:val="003D4409"/>
    <w:rsid w:val="003D4A54"/>
    <w:rsid w:val="003D5717"/>
    <w:rsid w:val="003D5B80"/>
    <w:rsid w:val="003D676A"/>
    <w:rsid w:val="003D6873"/>
    <w:rsid w:val="003D68E7"/>
    <w:rsid w:val="003D6B5B"/>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984"/>
    <w:rsid w:val="003F7DFF"/>
    <w:rsid w:val="0040042A"/>
    <w:rsid w:val="004009C5"/>
    <w:rsid w:val="00400E97"/>
    <w:rsid w:val="004024AB"/>
    <w:rsid w:val="0040303D"/>
    <w:rsid w:val="0040379F"/>
    <w:rsid w:val="00403883"/>
    <w:rsid w:val="00403F25"/>
    <w:rsid w:val="00404024"/>
    <w:rsid w:val="004041B2"/>
    <w:rsid w:val="004041BC"/>
    <w:rsid w:val="004055EE"/>
    <w:rsid w:val="00405EFB"/>
    <w:rsid w:val="00406366"/>
    <w:rsid w:val="0040689B"/>
    <w:rsid w:val="00406F4B"/>
    <w:rsid w:val="004073B0"/>
    <w:rsid w:val="0041093B"/>
    <w:rsid w:val="00410BEC"/>
    <w:rsid w:val="004111BE"/>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889"/>
    <w:rsid w:val="00425C97"/>
    <w:rsid w:val="00426034"/>
    <w:rsid w:val="0042654A"/>
    <w:rsid w:val="00426761"/>
    <w:rsid w:val="00426AA7"/>
    <w:rsid w:val="00427478"/>
    <w:rsid w:val="004276E3"/>
    <w:rsid w:val="0042795C"/>
    <w:rsid w:val="00427E67"/>
    <w:rsid w:val="00430178"/>
    <w:rsid w:val="00430250"/>
    <w:rsid w:val="004309F8"/>
    <w:rsid w:val="00431843"/>
    <w:rsid w:val="0043198C"/>
    <w:rsid w:val="0043270B"/>
    <w:rsid w:val="00432E20"/>
    <w:rsid w:val="00432F8F"/>
    <w:rsid w:val="0043424B"/>
    <w:rsid w:val="0043480E"/>
    <w:rsid w:val="004355EB"/>
    <w:rsid w:val="00435602"/>
    <w:rsid w:val="00435635"/>
    <w:rsid w:val="004356FA"/>
    <w:rsid w:val="00435CCF"/>
    <w:rsid w:val="004365C5"/>
    <w:rsid w:val="00437179"/>
    <w:rsid w:val="004371AB"/>
    <w:rsid w:val="0044035D"/>
    <w:rsid w:val="0044166C"/>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D2B"/>
    <w:rsid w:val="00450D3B"/>
    <w:rsid w:val="00450D54"/>
    <w:rsid w:val="00450E02"/>
    <w:rsid w:val="00450E4C"/>
    <w:rsid w:val="004518D5"/>
    <w:rsid w:val="00451B17"/>
    <w:rsid w:val="00451BEB"/>
    <w:rsid w:val="00451E3C"/>
    <w:rsid w:val="00452891"/>
    <w:rsid w:val="00453DEF"/>
    <w:rsid w:val="004543E4"/>
    <w:rsid w:val="004548E5"/>
    <w:rsid w:val="004549AF"/>
    <w:rsid w:val="00455B39"/>
    <w:rsid w:val="00456114"/>
    <w:rsid w:val="004562F8"/>
    <w:rsid w:val="00456971"/>
    <w:rsid w:val="0045742D"/>
    <w:rsid w:val="004574AB"/>
    <w:rsid w:val="0046027A"/>
    <w:rsid w:val="004607CD"/>
    <w:rsid w:val="004608A9"/>
    <w:rsid w:val="00460958"/>
    <w:rsid w:val="0046110A"/>
    <w:rsid w:val="004612C8"/>
    <w:rsid w:val="004616E5"/>
    <w:rsid w:val="0046194F"/>
    <w:rsid w:val="00461B3E"/>
    <w:rsid w:val="00461E80"/>
    <w:rsid w:val="00462420"/>
    <w:rsid w:val="004627B7"/>
    <w:rsid w:val="0046314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4DBC"/>
    <w:rsid w:val="00475260"/>
    <w:rsid w:val="00475596"/>
    <w:rsid w:val="004759AD"/>
    <w:rsid w:val="00476D8B"/>
    <w:rsid w:val="0047703F"/>
    <w:rsid w:val="0047765A"/>
    <w:rsid w:val="0047786D"/>
    <w:rsid w:val="00477FF7"/>
    <w:rsid w:val="00480F17"/>
    <w:rsid w:val="004813F5"/>
    <w:rsid w:val="00481607"/>
    <w:rsid w:val="00483D11"/>
    <w:rsid w:val="00483D84"/>
    <w:rsid w:val="0048406D"/>
    <w:rsid w:val="00484498"/>
    <w:rsid w:val="00484C46"/>
    <w:rsid w:val="00485E8A"/>
    <w:rsid w:val="00485E94"/>
    <w:rsid w:val="004860F5"/>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4C33"/>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F8B"/>
    <w:rsid w:val="004A705C"/>
    <w:rsid w:val="004A70E3"/>
    <w:rsid w:val="004A710E"/>
    <w:rsid w:val="004A71A7"/>
    <w:rsid w:val="004A7390"/>
    <w:rsid w:val="004A7FB0"/>
    <w:rsid w:val="004B0372"/>
    <w:rsid w:val="004B038D"/>
    <w:rsid w:val="004B0FC0"/>
    <w:rsid w:val="004B1313"/>
    <w:rsid w:val="004B1C42"/>
    <w:rsid w:val="004B2B31"/>
    <w:rsid w:val="004B2BD5"/>
    <w:rsid w:val="004B3C3F"/>
    <w:rsid w:val="004B3CE9"/>
    <w:rsid w:val="004B4D0A"/>
    <w:rsid w:val="004B566D"/>
    <w:rsid w:val="004B5C0C"/>
    <w:rsid w:val="004B6301"/>
    <w:rsid w:val="004B71E9"/>
    <w:rsid w:val="004C0346"/>
    <w:rsid w:val="004C0B5B"/>
    <w:rsid w:val="004C0F99"/>
    <w:rsid w:val="004C1242"/>
    <w:rsid w:val="004C130D"/>
    <w:rsid w:val="004C1E76"/>
    <w:rsid w:val="004C20B1"/>
    <w:rsid w:val="004C255D"/>
    <w:rsid w:val="004C2F01"/>
    <w:rsid w:val="004C35D8"/>
    <w:rsid w:val="004C3974"/>
    <w:rsid w:val="004C44D3"/>
    <w:rsid w:val="004C4C9E"/>
    <w:rsid w:val="004C507D"/>
    <w:rsid w:val="004C521E"/>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A27"/>
    <w:rsid w:val="004D3EB5"/>
    <w:rsid w:val="004D3F7D"/>
    <w:rsid w:val="004D4968"/>
    <w:rsid w:val="004D5F40"/>
    <w:rsid w:val="004D6240"/>
    <w:rsid w:val="004D6794"/>
    <w:rsid w:val="004D7316"/>
    <w:rsid w:val="004E0289"/>
    <w:rsid w:val="004E03BE"/>
    <w:rsid w:val="004E0821"/>
    <w:rsid w:val="004E0BDC"/>
    <w:rsid w:val="004E0CD0"/>
    <w:rsid w:val="004E0E39"/>
    <w:rsid w:val="004E12EB"/>
    <w:rsid w:val="004E1498"/>
    <w:rsid w:val="004E2487"/>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358"/>
    <w:rsid w:val="004F2826"/>
    <w:rsid w:val="004F2FC3"/>
    <w:rsid w:val="004F3155"/>
    <w:rsid w:val="004F359A"/>
    <w:rsid w:val="004F3DD1"/>
    <w:rsid w:val="004F3E85"/>
    <w:rsid w:val="004F4241"/>
    <w:rsid w:val="004F438E"/>
    <w:rsid w:val="004F4E30"/>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2747"/>
    <w:rsid w:val="005137D0"/>
    <w:rsid w:val="00513F8F"/>
    <w:rsid w:val="005147E7"/>
    <w:rsid w:val="005149A2"/>
    <w:rsid w:val="005150E4"/>
    <w:rsid w:val="00515585"/>
    <w:rsid w:val="005157A7"/>
    <w:rsid w:val="005157BE"/>
    <w:rsid w:val="00515E2B"/>
    <w:rsid w:val="00517326"/>
    <w:rsid w:val="00517B89"/>
    <w:rsid w:val="00517C3B"/>
    <w:rsid w:val="0052001B"/>
    <w:rsid w:val="00521D65"/>
    <w:rsid w:val="00522592"/>
    <w:rsid w:val="00522E36"/>
    <w:rsid w:val="00523B71"/>
    <w:rsid w:val="00523F32"/>
    <w:rsid w:val="005251DA"/>
    <w:rsid w:val="00525515"/>
    <w:rsid w:val="005255CE"/>
    <w:rsid w:val="00525CAE"/>
    <w:rsid w:val="00526653"/>
    <w:rsid w:val="00526C8A"/>
    <w:rsid w:val="00527489"/>
    <w:rsid w:val="00527DB2"/>
    <w:rsid w:val="00530BD5"/>
    <w:rsid w:val="00531307"/>
    <w:rsid w:val="0053173A"/>
    <w:rsid w:val="00531824"/>
    <w:rsid w:val="00532462"/>
    <w:rsid w:val="00532976"/>
    <w:rsid w:val="00533215"/>
    <w:rsid w:val="005339D2"/>
    <w:rsid w:val="0053437E"/>
    <w:rsid w:val="0053476E"/>
    <w:rsid w:val="005349EB"/>
    <w:rsid w:val="00534B42"/>
    <w:rsid w:val="00534D96"/>
    <w:rsid w:val="0053542C"/>
    <w:rsid w:val="005408FD"/>
    <w:rsid w:val="00540EC8"/>
    <w:rsid w:val="005417A0"/>
    <w:rsid w:val="005422E8"/>
    <w:rsid w:val="005426C4"/>
    <w:rsid w:val="00543342"/>
    <w:rsid w:val="00543A66"/>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EA"/>
    <w:rsid w:val="0055348E"/>
    <w:rsid w:val="00553C13"/>
    <w:rsid w:val="00554999"/>
    <w:rsid w:val="005555A1"/>
    <w:rsid w:val="00556461"/>
    <w:rsid w:val="00557004"/>
    <w:rsid w:val="005570E7"/>
    <w:rsid w:val="00560546"/>
    <w:rsid w:val="005612F8"/>
    <w:rsid w:val="0056171E"/>
    <w:rsid w:val="0056200F"/>
    <w:rsid w:val="00562276"/>
    <w:rsid w:val="005622DF"/>
    <w:rsid w:val="005639EE"/>
    <w:rsid w:val="0056434D"/>
    <w:rsid w:val="005649A2"/>
    <w:rsid w:val="00564D6E"/>
    <w:rsid w:val="0056710F"/>
    <w:rsid w:val="0056719E"/>
    <w:rsid w:val="00567D6E"/>
    <w:rsid w:val="00570859"/>
    <w:rsid w:val="00570C83"/>
    <w:rsid w:val="00572583"/>
    <w:rsid w:val="00572A3E"/>
    <w:rsid w:val="00572B21"/>
    <w:rsid w:val="00573146"/>
    <w:rsid w:val="005735E8"/>
    <w:rsid w:val="0057380A"/>
    <w:rsid w:val="00573B1B"/>
    <w:rsid w:val="00573E29"/>
    <w:rsid w:val="00573F24"/>
    <w:rsid w:val="00575248"/>
    <w:rsid w:val="00575716"/>
    <w:rsid w:val="005758CE"/>
    <w:rsid w:val="00575E94"/>
    <w:rsid w:val="005770BC"/>
    <w:rsid w:val="00577BE7"/>
    <w:rsid w:val="0058016B"/>
    <w:rsid w:val="00580760"/>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87E54"/>
    <w:rsid w:val="00590C9A"/>
    <w:rsid w:val="00591331"/>
    <w:rsid w:val="00591781"/>
    <w:rsid w:val="00591921"/>
    <w:rsid w:val="00591B9C"/>
    <w:rsid w:val="00592A4A"/>
    <w:rsid w:val="005939E5"/>
    <w:rsid w:val="00594B20"/>
    <w:rsid w:val="00595652"/>
    <w:rsid w:val="00595B80"/>
    <w:rsid w:val="00596788"/>
    <w:rsid w:val="005968C4"/>
    <w:rsid w:val="00596A82"/>
    <w:rsid w:val="00597605"/>
    <w:rsid w:val="005A05C6"/>
    <w:rsid w:val="005A0753"/>
    <w:rsid w:val="005A0789"/>
    <w:rsid w:val="005A167B"/>
    <w:rsid w:val="005A2229"/>
    <w:rsid w:val="005A2832"/>
    <w:rsid w:val="005A320D"/>
    <w:rsid w:val="005A3468"/>
    <w:rsid w:val="005A35EA"/>
    <w:rsid w:val="005A36E3"/>
    <w:rsid w:val="005A4A64"/>
    <w:rsid w:val="005A50FE"/>
    <w:rsid w:val="005A59CF"/>
    <w:rsid w:val="005A6CB4"/>
    <w:rsid w:val="005A7ECD"/>
    <w:rsid w:val="005A7F72"/>
    <w:rsid w:val="005B097C"/>
    <w:rsid w:val="005B1CC4"/>
    <w:rsid w:val="005B1D3E"/>
    <w:rsid w:val="005B2EB8"/>
    <w:rsid w:val="005B33A1"/>
    <w:rsid w:val="005B5251"/>
    <w:rsid w:val="005B54FE"/>
    <w:rsid w:val="005B5A55"/>
    <w:rsid w:val="005B5C25"/>
    <w:rsid w:val="005B5F56"/>
    <w:rsid w:val="005B67F6"/>
    <w:rsid w:val="005B7D8A"/>
    <w:rsid w:val="005C0904"/>
    <w:rsid w:val="005C09BF"/>
    <w:rsid w:val="005C0D61"/>
    <w:rsid w:val="005C0E62"/>
    <w:rsid w:val="005C17D4"/>
    <w:rsid w:val="005C18B0"/>
    <w:rsid w:val="005C1B10"/>
    <w:rsid w:val="005C2EA8"/>
    <w:rsid w:val="005C3A28"/>
    <w:rsid w:val="005C4037"/>
    <w:rsid w:val="005C5849"/>
    <w:rsid w:val="005C5AA6"/>
    <w:rsid w:val="005C5E0A"/>
    <w:rsid w:val="005C5E4D"/>
    <w:rsid w:val="005C7CAD"/>
    <w:rsid w:val="005D02FA"/>
    <w:rsid w:val="005D0790"/>
    <w:rsid w:val="005D0E4D"/>
    <w:rsid w:val="005D2043"/>
    <w:rsid w:val="005D20FC"/>
    <w:rsid w:val="005D2464"/>
    <w:rsid w:val="005D2EE8"/>
    <w:rsid w:val="005D32EE"/>
    <w:rsid w:val="005D38CA"/>
    <w:rsid w:val="005D4722"/>
    <w:rsid w:val="005D4884"/>
    <w:rsid w:val="005D49D1"/>
    <w:rsid w:val="005D5E46"/>
    <w:rsid w:val="005D64A5"/>
    <w:rsid w:val="005D680B"/>
    <w:rsid w:val="005D6B30"/>
    <w:rsid w:val="005D7AA9"/>
    <w:rsid w:val="005E0010"/>
    <w:rsid w:val="005E0EAD"/>
    <w:rsid w:val="005E0EB3"/>
    <w:rsid w:val="005E1F47"/>
    <w:rsid w:val="005E260D"/>
    <w:rsid w:val="005E35FD"/>
    <w:rsid w:val="005E383F"/>
    <w:rsid w:val="005E5220"/>
    <w:rsid w:val="005E7342"/>
    <w:rsid w:val="005E7698"/>
    <w:rsid w:val="005E77D7"/>
    <w:rsid w:val="005E7CAF"/>
    <w:rsid w:val="005F0931"/>
    <w:rsid w:val="005F0C46"/>
    <w:rsid w:val="005F1FE4"/>
    <w:rsid w:val="005F2AF8"/>
    <w:rsid w:val="005F371A"/>
    <w:rsid w:val="005F3F7F"/>
    <w:rsid w:val="005F4950"/>
    <w:rsid w:val="005F499E"/>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15F"/>
    <w:rsid w:val="00606C6F"/>
    <w:rsid w:val="00606FA6"/>
    <w:rsid w:val="00607079"/>
    <w:rsid w:val="00607ADE"/>
    <w:rsid w:val="00611C83"/>
    <w:rsid w:val="00612015"/>
    <w:rsid w:val="006122CF"/>
    <w:rsid w:val="0061286E"/>
    <w:rsid w:val="00612C73"/>
    <w:rsid w:val="006135B2"/>
    <w:rsid w:val="006144BB"/>
    <w:rsid w:val="00614CB4"/>
    <w:rsid w:val="00614EE6"/>
    <w:rsid w:val="006151F5"/>
    <w:rsid w:val="00615BDB"/>
    <w:rsid w:val="00616A04"/>
    <w:rsid w:val="0061717F"/>
    <w:rsid w:val="006179B1"/>
    <w:rsid w:val="00617D03"/>
    <w:rsid w:val="00617E9E"/>
    <w:rsid w:val="00620686"/>
    <w:rsid w:val="006209E8"/>
    <w:rsid w:val="00621B11"/>
    <w:rsid w:val="00621C0B"/>
    <w:rsid w:val="00621CAD"/>
    <w:rsid w:val="00622A7E"/>
    <w:rsid w:val="0062317C"/>
    <w:rsid w:val="00623A7F"/>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4B95"/>
    <w:rsid w:val="00635175"/>
    <w:rsid w:val="006352B0"/>
    <w:rsid w:val="00635CC3"/>
    <w:rsid w:val="00636041"/>
    <w:rsid w:val="00636094"/>
    <w:rsid w:val="006365A1"/>
    <w:rsid w:val="006373C7"/>
    <w:rsid w:val="00637E00"/>
    <w:rsid w:val="00640222"/>
    <w:rsid w:val="00640E17"/>
    <w:rsid w:val="00641061"/>
    <w:rsid w:val="006412CA"/>
    <w:rsid w:val="00641E4B"/>
    <w:rsid w:val="00642791"/>
    <w:rsid w:val="006427D6"/>
    <w:rsid w:val="006428E2"/>
    <w:rsid w:val="00642D10"/>
    <w:rsid w:val="006430B5"/>
    <w:rsid w:val="00644200"/>
    <w:rsid w:val="0064640A"/>
    <w:rsid w:val="006464A6"/>
    <w:rsid w:val="00647D2D"/>
    <w:rsid w:val="00650854"/>
    <w:rsid w:val="00650A04"/>
    <w:rsid w:val="00650CAB"/>
    <w:rsid w:val="006510F4"/>
    <w:rsid w:val="006514E4"/>
    <w:rsid w:val="00651AD3"/>
    <w:rsid w:val="00651FA0"/>
    <w:rsid w:val="006526F3"/>
    <w:rsid w:val="0065293D"/>
    <w:rsid w:val="006536FE"/>
    <w:rsid w:val="00653C67"/>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480F"/>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ECD"/>
    <w:rsid w:val="006730FA"/>
    <w:rsid w:val="00673D7C"/>
    <w:rsid w:val="00673FBF"/>
    <w:rsid w:val="00674460"/>
    <w:rsid w:val="006744FB"/>
    <w:rsid w:val="00676A4B"/>
    <w:rsid w:val="00676C9B"/>
    <w:rsid w:val="00677E8D"/>
    <w:rsid w:val="00680A97"/>
    <w:rsid w:val="00680C3F"/>
    <w:rsid w:val="0068102D"/>
    <w:rsid w:val="0068226B"/>
    <w:rsid w:val="00682ED3"/>
    <w:rsid w:val="0068370B"/>
    <w:rsid w:val="00684BDE"/>
    <w:rsid w:val="00684FBD"/>
    <w:rsid w:val="00685535"/>
    <w:rsid w:val="00685D3B"/>
    <w:rsid w:val="00686DA5"/>
    <w:rsid w:val="00687817"/>
    <w:rsid w:val="0069008A"/>
    <w:rsid w:val="00690881"/>
    <w:rsid w:val="00692799"/>
    <w:rsid w:val="00692A0D"/>
    <w:rsid w:val="00693077"/>
    <w:rsid w:val="00693295"/>
    <w:rsid w:val="006936BD"/>
    <w:rsid w:val="0069447C"/>
    <w:rsid w:val="00695E3A"/>
    <w:rsid w:val="00697076"/>
    <w:rsid w:val="006979CD"/>
    <w:rsid w:val="00697FE2"/>
    <w:rsid w:val="006A0B49"/>
    <w:rsid w:val="006A1313"/>
    <w:rsid w:val="006A2347"/>
    <w:rsid w:val="006A24B3"/>
    <w:rsid w:val="006A2A3D"/>
    <w:rsid w:val="006A40F0"/>
    <w:rsid w:val="006A415E"/>
    <w:rsid w:val="006A46C7"/>
    <w:rsid w:val="006A49B5"/>
    <w:rsid w:val="006A5A82"/>
    <w:rsid w:val="006A5BC7"/>
    <w:rsid w:val="006A5C44"/>
    <w:rsid w:val="006A5DE5"/>
    <w:rsid w:val="006A636A"/>
    <w:rsid w:val="006A6B69"/>
    <w:rsid w:val="006A6F85"/>
    <w:rsid w:val="006B1229"/>
    <w:rsid w:val="006B1938"/>
    <w:rsid w:val="006B19B2"/>
    <w:rsid w:val="006B1DA2"/>
    <w:rsid w:val="006B1F5F"/>
    <w:rsid w:val="006B2064"/>
    <w:rsid w:val="006B3AD6"/>
    <w:rsid w:val="006B4F5B"/>
    <w:rsid w:val="006B5922"/>
    <w:rsid w:val="006B67DE"/>
    <w:rsid w:val="006B6C94"/>
    <w:rsid w:val="006B6E3E"/>
    <w:rsid w:val="006C0900"/>
    <w:rsid w:val="006C09DD"/>
    <w:rsid w:val="006C10C0"/>
    <w:rsid w:val="006C369C"/>
    <w:rsid w:val="006C36E8"/>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B10"/>
    <w:rsid w:val="006E0B16"/>
    <w:rsid w:val="006E22CC"/>
    <w:rsid w:val="006E3B45"/>
    <w:rsid w:val="006E512D"/>
    <w:rsid w:val="006E53A6"/>
    <w:rsid w:val="006E5C3A"/>
    <w:rsid w:val="006E6FC9"/>
    <w:rsid w:val="006E7093"/>
    <w:rsid w:val="006E7496"/>
    <w:rsid w:val="006E7969"/>
    <w:rsid w:val="006F0B08"/>
    <w:rsid w:val="006F0C12"/>
    <w:rsid w:val="006F0EB1"/>
    <w:rsid w:val="006F1636"/>
    <w:rsid w:val="006F16B4"/>
    <w:rsid w:val="006F2CCB"/>
    <w:rsid w:val="006F2E9D"/>
    <w:rsid w:val="006F314D"/>
    <w:rsid w:val="006F57A2"/>
    <w:rsid w:val="006F59D4"/>
    <w:rsid w:val="006F5CDF"/>
    <w:rsid w:val="006F61B8"/>
    <w:rsid w:val="006F6BE1"/>
    <w:rsid w:val="006F738F"/>
    <w:rsid w:val="006F7E42"/>
    <w:rsid w:val="0070023A"/>
    <w:rsid w:val="00700EC2"/>
    <w:rsid w:val="00700F47"/>
    <w:rsid w:val="007014E9"/>
    <w:rsid w:val="0070193E"/>
    <w:rsid w:val="00701F6B"/>
    <w:rsid w:val="00701F87"/>
    <w:rsid w:val="007032B8"/>
    <w:rsid w:val="007036E5"/>
    <w:rsid w:val="0070452B"/>
    <w:rsid w:val="007047A6"/>
    <w:rsid w:val="00704C05"/>
    <w:rsid w:val="007062DD"/>
    <w:rsid w:val="00706D73"/>
    <w:rsid w:val="00706DA9"/>
    <w:rsid w:val="00706E42"/>
    <w:rsid w:val="00707BF4"/>
    <w:rsid w:val="0071029D"/>
    <w:rsid w:val="00710815"/>
    <w:rsid w:val="00710994"/>
    <w:rsid w:val="00710D33"/>
    <w:rsid w:val="00710FF5"/>
    <w:rsid w:val="0071129C"/>
    <w:rsid w:val="00711AE4"/>
    <w:rsid w:val="00712D0F"/>
    <w:rsid w:val="0071374D"/>
    <w:rsid w:val="007137DB"/>
    <w:rsid w:val="007146D9"/>
    <w:rsid w:val="00714D12"/>
    <w:rsid w:val="00714D3C"/>
    <w:rsid w:val="0071649C"/>
    <w:rsid w:val="007167B9"/>
    <w:rsid w:val="0071705C"/>
    <w:rsid w:val="00717267"/>
    <w:rsid w:val="007178EE"/>
    <w:rsid w:val="00717C8F"/>
    <w:rsid w:val="00717CA5"/>
    <w:rsid w:val="00720484"/>
    <w:rsid w:val="007214AF"/>
    <w:rsid w:val="007216B6"/>
    <w:rsid w:val="00721E1D"/>
    <w:rsid w:val="00722752"/>
    <w:rsid w:val="00722CD9"/>
    <w:rsid w:val="00723B7C"/>
    <w:rsid w:val="00723E10"/>
    <w:rsid w:val="00724357"/>
    <w:rsid w:val="00724426"/>
    <w:rsid w:val="00724685"/>
    <w:rsid w:val="00724A3E"/>
    <w:rsid w:val="00725CB6"/>
    <w:rsid w:val="00726281"/>
    <w:rsid w:val="00726C1B"/>
    <w:rsid w:val="00730B78"/>
    <w:rsid w:val="0073128B"/>
    <w:rsid w:val="007312CB"/>
    <w:rsid w:val="0073171A"/>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CED"/>
    <w:rsid w:val="0074108B"/>
    <w:rsid w:val="0074179B"/>
    <w:rsid w:val="00741B54"/>
    <w:rsid w:val="007420C9"/>
    <w:rsid w:val="00744055"/>
    <w:rsid w:val="00744F4E"/>
    <w:rsid w:val="0074576E"/>
    <w:rsid w:val="0074602F"/>
    <w:rsid w:val="00746D56"/>
    <w:rsid w:val="00746FA0"/>
    <w:rsid w:val="00747446"/>
    <w:rsid w:val="00747915"/>
    <w:rsid w:val="00747F05"/>
    <w:rsid w:val="00750292"/>
    <w:rsid w:val="0075066D"/>
    <w:rsid w:val="00750A08"/>
    <w:rsid w:val="00751651"/>
    <w:rsid w:val="0075170D"/>
    <w:rsid w:val="0075179E"/>
    <w:rsid w:val="00751C37"/>
    <w:rsid w:val="007529E9"/>
    <w:rsid w:val="00752E1F"/>
    <w:rsid w:val="00752FE7"/>
    <w:rsid w:val="00753440"/>
    <w:rsid w:val="00753819"/>
    <w:rsid w:val="00753DAC"/>
    <w:rsid w:val="00753DDF"/>
    <w:rsid w:val="00754E83"/>
    <w:rsid w:val="00754FB6"/>
    <w:rsid w:val="00755151"/>
    <w:rsid w:val="00755B06"/>
    <w:rsid w:val="0075603B"/>
    <w:rsid w:val="00756C09"/>
    <w:rsid w:val="007570E6"/>
    <w:rsid w:val="00757A61"/>
    <w:rsid w:val="00757C96"/>
    <w:rsid w:val="007600A8"/>
    <w:rsid w:val="00760D79"/>
    <w:rsid w:val="0076121D"/>
    <w:rsid w:val="007619FB"/>
    <w:rsid w:val="00761C91"/>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4F37"/>
    <w:rsid w:val="00775F11"/>
    <w:rsid w:val="007768F2"/>
    <w:rsid w:val="00776E9E"/>
    <w:rsid w:val="00777126"/>
    <w:rsid w:val="007773CD"/>
    <w:rsid w:val="00777C1A"/>
    <w:rsid w:val="00777C3F"/>
    <w:rsid w:val="00777EE9"/>
    <w:rsid w:val="00780732"/>
    <w:rsid w:val="0078095A"/>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80A"/>
    <w:rsid w:val="007939C7"/>
    <w:rsid w:val="00793F07"/>
    <w:rsid w:val="007940AC"/>
    <w:rsid w:val="0079484F"/>
    <w:rsid w:val="00794DA6"/>
    <w:rsid w:val="007955A1"/>
    <w:rsid w:val="007958CB"/>
    <w:rsid w:val="0079592D"/>
    <w:rsid w:val="0079740B"/>
    <w:rsid w:val="0079740D"/>
    <w:rsid w:val="00797FCF"/>
    <w:rsid w:val="007A00DB"/>
    <w:rsid w:val="007A06C7"/>
    <w:rsid w:val="007A0D8D"/>
    <w:rsid w:val="007A1B63"/>
    <w:rsid w:val="007A1BE6"/>
    <w:rsid w:val="007A2BFF"/>
    <w:rsid w:val="007A33C1"/>
    <w:rsid w:val="007A33FF"/>
    <w:rsid w:val="007A4C0C"/>
    <w:rsid w:val="007A5493"/>
    <w:rsid w:val="007A5A5A"/>
    <w:rsid w:val="007A5BC2"/>
    <w:rsid w:val="007A618D"/>
    <w:rsid w:val="007A765B"/>
    <w:rsid w:val="007B0253"/>
    <w:rsid w:val="007B0E3D"/>
    <w:rsid w:val="007B1061"/>
    <w:rsid w:val="007B1306"/>
    <w:rsid w:val="007B1B64"/>
    <w:rsid w:val="007B2638"/>
    <w:rsid w:val="007B2D8B"/>
    <w:rsid w:val="007B3458"/>
    <w:rsid w:val="007B448A"/>
    <w:rsid w:val="007B4B0D"/>
    <w:rsid w:val="007B4C6D"/>
    <w:rsid w:val="007B4E3F"/>
    <w:rsid w:val="007B522A"/>
    <w:rsid w:val="007B7275"/>
    <w:rsid w:val="007C09E4"/>
    <w:rsid w:val="007C0D95"/>
    <w:rsid w:val="007C0E3C"/>
    <w:rsid w:val="007C0F3A"/>
    <w:rsid w:val="007C1537"/>
    <w:rsid w:val="007C1B05"/>
    <w:rsid w:val="007C2102"/>
    <w:rsid w:val="007C508D"/>
    <w:rsid w:val="007C52ED"/>
    <w:rsid w:val="007C53A1"/>
    <w:rsid w:val="007C5BC2"/>
    <w:rsid w:val="007C5DB6"/>
    <w:rsid w:val="007C64BC"/>
    <w:rsid w:val="007C6714"/>
    <w:rsid w:val="007C675F"/>
    <w:rsid w:val="007C6835"/>
    <w:rsid w:val="007C6D9B"/>
    <w:rsid w:val="007C7EF3"/>
    <w:rsid w:val="007D0118"/>
    <w:rsid w:val="007D014E"/>
    <w:rsid w:val="007D11B6"/>
    <w:rsid w:val="007D1B65"/>
    <w:rsid w:val="007D1B7C"/>
    <w:rsid w:val="007D2C12"/>
    <w:rsid w:val="007D4CB3"/>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4238"/>
    <w:rsid w:val="007E4E4F"/>
    <w:rsid w:val="007E6477"/>
    <w:rsid w:val="007E686B"/>
    <w:rsid w:val="007E6D46"/>
    <w:rsid w:val="007E6DA8"/>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7F9"/>
    <w:rsid w:val="00814B5E"/>
    <w:rsid w:val="00814B7D"/>
    <w:rsid w:val="00814C44"/>
    <w:rsid w:val="00814F19"/>
    <w:rsid w:val="00815706"/>
    <w:rsid w:val="00815A88"/>
    <w:rsid w:val="008162DE"/>
    <w:rsid w:val="00817025"/>
    <w:rsid w:val="008202C9"/>
    <w:rsid w:val="00820759"/>
    <w:rsid w:val="0082081A"/>
    <w:rsid w:val="00820B06"/>
    <w:rsid w:val="00820E25"/>
    <w:rsid w:val="00821167"/>
    <w:rsid w:val="00821737"/>
    <w:rsid w:val="00821B0B"/>
    <w:rsid w:val="00821D40"/>
    <w:rsid w:val="008237B2"/>
    <w:rsid w:val="00827A8A"/>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2CF"/>
    <w:rsid w:val="00841875"/>
    <w:rsid w:val="00841D09"/>
    <w:rsid w:val="00841E9F"/>
    <w:rsid w:val="00842061"/>
    <w:rsid w:val="00843971"/>
    <w:rsid w:val="00843AFD"/>
    <w:rsid w:val="00843B71"/>
    <w:rsid w:val="00843BDF"/>
    <w:rsid w:val="00844468"/>
    <w:rsid w:val="008444F8"/>
    <w:rsid w:val="00845014"/>
    <w:rsid w:val="0084554A"/>
    <w:rsid w:val="00845F51"/>
    <w:rsid w:val="00846069"/>
    <w:rsid w:val="0084637B"/>
    <w:rsid w:val="00846467"/>
    <w:rsid w:val="0084760D"/>
    <w:rsid w:val="00847991"/>
    <w:rsid w:val="00847C4E"/>
    <w:rsid w:val="0085172A"/>
    <w:rsid w:val="008517E2"/>
    <w:rsid w:val="008535B0"/>
    <w:rsid w:val="00853A21"/>
    <w:rsid w:val="00853BD0"/>
    <w:rsid w:val="00854983"/>
    <w:rsid w:val="00854DBE"/>
    <w:rsid w:val="00855C75"/>
    <w:rsid w:val="008569DF"/>
    <w:rsid w:val="00856B6B"/>
    <w:rsid w:val="00856E4A"/>
    <w:rsid w:val="00856EE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711C"/>
    <w:rsid w:val="00870793"/>
    <w:rsid w:val="00871EED"/>
    <w:rsid w:val="008734E7"/>
    <w:rsid w:val="0087404E"/>
    <w:rsid w:val="008744DD"/>
    <w:rsid w:val="00874C48"/>
    <w:rsid w:val="0087504C"/>
    <w:rsid w:val="008751A1"/>
    <w:rsid w:val="00875394"/>
    <w:rsid w:val="00875905"/>
    <w:rsid w:val="00876B38"/>
    <w:rsid w:val="00876C1A"/>
    <w:rsid w:val="00877149"/>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87854"/>
    <w:rsid w:val="008907B2"/>
    <w:rsid w:val="00890C19"/>
    <w:rsid w:val="00891046"/>
    <w:rsid w:val="008914A6"/>
    <w:rsid w:val="00891DD0"/>
    <w:rsid w:val="008922DF"/>
    <w:rsid w:val="0089290E"/>
    <w:rsid w:val="00892C2E"/>
    <w:rsid w:val="0089357C"/>
    <w:rsid w:val="00893773"/>
    <w:rsid w:val="008949CC"/>
    <w:rsid w:val="0089549F"/>
    <w:rsid w:val="008954B3"/>
    <w:rsid w:val="008958EF"/>
    <w:rsid w:val="008959F1"/>
    <w:rsid w:val="00895EAA"/>
    <w:rsid w:val="00895F27"/>
    <w:rsid w:val="008970B5"/>
    <w:rsid w:val="008971D9"/>
    <w:rsid w:val="008A0473"/>
    <w:rsid w:val="008A16AE"/>
    <w:rsid w:val="008A24BD"/>
    <w:rsid w:val="008A2593"/>
    <w:rsid w:val="008A2B4D"/>
    <w:rsid w:val="008A36ED"/>
    <w:rsid w:val="008A422F"/>
    <w:rsid w:val="008A42D8"/>
    <w:rsid w:val="008A45B1"/>
    <w:rsid w:val="008A59E9"/>
    <w:rsid w:val="008A6605"/>
    <w:rsid w:val="008A668F"/>
    <w:rsid w:val="008A6A11"/>
    <w:rsid w:val="008A6C6F"/>
    <w:rsid w:val="008A71B7"/>
    <w:rsid w:val="008A72A4"/>
    <w:rsid w:val="008A75C5"/>
    <w:rsid w:val="008A7669"/>
    <w:rsid w:val="008A7819"/>
    <w:rsid w:val="008A7FCC"/>
    <w:rsid w:val="008B01A2"/>
    <w:rsid w:val="008B07C0"/>
    <w:rsid w:val="008B0872"/>
    <w:rsid w:val="008B0DCC"/>
    <w:rsid w:val="008B1651"/>
    <w:rsid w:val="008B2DEB"/>
    <w:rsid w:val="008B3537"/>
    <w:rsid w:val="008B3D4F"/>
    <w:rsid w:val="008B4B0D"/>
    <w:rsid w:val="008B4B33"/>
    <w:rsid w:val="008B511C"/>
    <w:rsid w:val="008B5578"/>
    <w:rsid w:val="008B5867"/>
    <w:rsid w:val="008B5A81"/>
    <w:rsid w:val="008B7441"/>
    <w:rsid w:val="008C0743"/>
    <w:rsid w:val="008C084B"/>
    <w:rsid w:val="008C0DB5"/>
    <w:rsid w:val="008C1581"/>
    <w:rsid w:val="008C17CD"/>
    <w:rsid w:val="008C2453"/>
    <w:rsid w:val="008C2920"/>
    <w:rsid w:val="008C32F7"/>
    <w:rsid w:val="008C381B"/>
    <w:rsid w:val="008C436D"/>
    <w:rsid w:val="008C4853"/>
    <w:rsid w:val="008C48F2"/>
    <w:rsid w:val="008C5040"/>
    <w:rsid w:val="008C5BE7"/>
    <w:rsid w:val="008C74CC"/>
    <w:rsid w:val="008C7C3C"/>
    <w:rsid w:val="008C7F77"/>
    <w:rsid w:val="008D095D"/>
    <w:rsid w:val="008D13DC"/>
    <w:rsid w:val="008D1980"/>
    <w:rsid w:val="008D1E23"/>
    <w:rsid w:val="008D2461"/>
    <w:rsid w:val="008D2C0B"/>
    <w:rsid w:val="008D34B7"/>
    <w:rsid w:val="008D39AB"/>
    <w:rsid w:val="008D4025"/>
    <w:rsid w:val="008D479A"/>
    <w:rsid w:val="008D4EA1"/>
    <w:rsid w:val="008D538D"/>
    <w:rsid w:val="008D5E0F"/>
    <w:rsid w:val="008D5FCD"/>
    <w:rsid w:val="008D6288"/>
    <w:rsid w:val="008D6C6B"/>
    <w:rsid w:val="008D6F90"/>
    <w:rsid w:val="008D7615"/>
    <w:rsid w:val="008D76A0"/>
    <w:rsid w:val="008E0E8C"/>
    <w:rsid w:val="008E16C5"/>
    <w:rsid w:val="008E2051"/>
    <w:rsid w:val="008E2525"/>
    <w:rsid w:val="008E2DE9"/>
    <w:rsid w:val="008E356A"/>
    <w:rsid w:val="008E3BCB"/>
    <w:rsid w:val="008E3BEB"/>
    <w:rsid w:val="008E3D50"/>
    <w:rsid w:val="008E412D"/>
    <w:rsid w:val="008E4145"/>
    <w:rsid w:val="008E451A"/>
    <w:rsid w:val="008E455C"/>
    <w:rsid w:val="008E4C61"/>
    <w:rsid w:val="008E4E8B"/>
    <w:rsid w:val="008E5867"/>
    <w:rsid w:val="008E5D5A"/>
    <w:rsid w:val="008E6240"/>
    <w:rsid w:val="008E6D2D"/>
    <w:rsid w:val="008E6E01"/>
    <w:rsid w:val="008E76F3"/>
    <w:rsid w:val="008E7A59"/>
    <w:rsid w:val="008E7FDA"/>
    <w:rsid w:val="008F01AB"/>
    <w:rsid w:val="008F23C7"/>
    <w:rsid w:val="008F2A4E"/>
    <w:rsid w:val="008F3DC9"/>
    <w:rsid w:val="008F4107"/>
    <w:rsid w:val="008F4807"/>
    <w:rsid w:val="008F4BFE"/>
    <w:rsid w:val="008F4F27"/>
    <w:rsid w:val="008F56B5"/>
    <w:rsid w:val="008F595E"/>
    <w:rsid w:val="008F7697"/>
    <w:rsid w:val="008F7AEE"/>
    <w:rsid w:val="00900BAA"/>
    <w:rsid w:val="00901845"/>
    <w:rsid w:val="00901AAA"/>
    <w:rsid w:val="0090242C"/>
    <w:rsid w:val="00902740"/>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1E1A"/>
    <w:rsid w:val="009123B9"/>
    <w:rsid w:val="00912DDD"/>
    <w:rsid w:val="00913F4C"/>
    <w:rsid w:val="0091404B"/>
    <w:rsid w:val="0091423A"/>
    <w:rsid w:val="00914307"/>
    <w:rsid w:val="00914370"/>
    <w:rsid w:val="00914CA0"/>
    <w:rsid w:val="00914DE2"/>
    <w:rsid w:val="0091537E"/>
    <w:rsid w:val="00915DE0"/>
    <w:rsid w:val="009167FB"/>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5EB"/>
    <w:rsid w:val="00936F26"/>
    <w:rsid w:val="009376D9"/>
    <w:rsid w:val="0094086F"/>
    <w:rsid w:val="00940AA2"/>
    <w:rsid w:val="00940B68"/>
    <w:rsid w:val="00940DF4"/>
    <w:rsid w:val="00941A1C"/>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15E0"/>
    <w:rsid w:val="00951995"/>
    <w:rsid w:val="00951B63"/>
    <w:rsid w:val="00951C7E"/>
    <w:rsid w:val="00951CF6"/>
    <w:rsid w:val="00951FFF"/>
    <w:rsid w:val="009520A6"/>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1EF"/>
    <w:rsid w:val="009612F1"/>
    <w:rsid w:val="00961B8B"/>
    <w:rsid w:val="00961BF6"/>
    <w:rsid w:val="00961D3F"/>
    <w:rsid w:val="00962AA0"/>
    <w:rsid w:val="00962CB3"/>
    <w:rsid w:val="00963164"/>
    <w:rsid w:val="00963275"/>
    <w:rsid w:val="0096347D"/>
    <w:rsid w:val="00963CD6"/>
    <w:rsid w:val="009646FA"/>
    <w:rsid w:val="009654F0"/>
    <w:rsid w:val="009667FB"/>
    <w:rsid w:val="00966C9A"/>
    <w:rsid w:val="00967B12"/>
    <w:rsid w:val="00970E72"/>
    <w:rsid w:val="00970F7A"/>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672C"/>
    <w:rsid w:val="009769BA"/>
    <w:rsid w:val="00976E39"/>
    <w:rsid w:val="009773CE"/>
    <w:rsid w:val="0097780F"/>
    <w:rsid w:val="009778AB"/>
    <w:rsid w:val="00981CB6"/>
    <w:rsid w:val="00982AB4"/>
    <w:rsid w:val="00983061"/>
    <w:rsid w:val="0098312F"/>
    <w:rsid w:val="00983223"/>
    <w:rsid w:val="00984206"/>
    <w:rsid w:val="0098511E"/>
    <w:rsid w:val="0098541D"/>
    <w:rsid w:val="00985C9A"/>
    <w:rsid w:val="009866CE"/>
    <w:rsid w:val="009879B5"/>
    <w:rsid w:val="00990010"/>
    <w:rsid w:val="00990732"/>
    <w:rsid w:val="00990C1F"/>
    <w:rsid w:val="00991820"/>
    <w:rsid w:val="00991C57"/>
    <w:rsid w:val="00991F39"/>
    <w:rsid w:val="009930C0"/>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B003C"/>
    <w:rsid w:val="009B0DFC"/>
    <w:rsid w:val="009B2465"/>
    <w:rsid w:val="009B285A"/>
    <w:rsid w:val="009B300F"/>
    <w:rsid w:val="009B3745"/>
    <w:rsid w:val="009B46E0"/>
    <w:rsid w:val="009B521B"/>
    <w:rsid w:val="009B5DD5"/>
    <w:rsid w:val="009B6970"/>
    <w:rsid w:val="009B74E2"/>
    <w:rsid w:val="009C00EF"/>
    <w:rsid w:val="009C064F"/>
    <w:rsid w:val="009C1566"/>
    <w:rsid w:val="009C245B"/>
    <w:rsid w:val="009C281C"/>
    <w:rsid w:val="009C3440"/>
    <w:rsid w:val="009C4E6E"/>
    <w:rsid w:val="009C520B"/>
    <w:rsid w:val="009C5874"/>
    <w:rsid w:val="009C6768"/>
    <w:rsid w:val="009C6894"/>
    <w:rsid w:val="009C68C6"/>
    <w:rsid w:val="009C6B3B"/>
    <w:rsid w:val="009C6B7B"/>
    <w:rsid w:val="009C6DA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1726"/>
    <w:rsid w:val="009E1F70"/>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3CC3"/>
    <w:rsid w:val="009F3F25"/>
    <w:rsid w:val="009F4375"/>
    <w:rsid w:val="009F4769"/>
    <w:rsid w:val="009F4F05"/>
    <w:rsid w:val="009F5218"/>
    <w:rsid w:val="009F6420"/>
    <w:rsid w:val="009F68BE"/>
    <w:rsid w:val="00A0004F"/>
    <w:rsid w:val="00A0039D"/>
    <w:rsid w:val="00A00574"/>
    <w:rsid w:val="00A00ABE"/>
    <w:rsid w:val="00A00B85"/>
    <w:rsid w:val="00A010FB"/>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3B0"/>
    <w:rsid w:val="00A21AAA"/>
    <w:rsid w:val="00A21FEA"/>
    <w:rsid w:val="00A224A1"/>
    <w:rsid w:val="00A23979"/>
    <w:rsid w:val="00A23DD3"/>
    <w:rsid w:val="00A2470A"/>
    <w:rsid w:val="00A2481C"/>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528E"/>
    <w:rsid w:val="00A4570E"/>
    <w:rsid w:val="00A4648A"/>
    <w:rsid w:val="00A46B10"/>
    <w:rsid w:val="00A46F1F"/>
    <w:rsid w:val="00A46FAD"/>
    <w:rsid w:val="00A472DB"/>
    <w:rsid w:val="00A47B7B"/>
    <w:rsid w:val="00A5044D"/>
    <w:rsid w:val="00A50B00"/>
    <w:rsid w:val="00A50E51"/>
    <w:rsid w:val="00A514EB"/>
    <w:rsid w:val="00A518FF"/>
    <w:rsid w:val="00A521E0"/>
    <w:rsid w:val="00A52BE9"/>
    <w:rsid w:val="00A54826"/>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A37"/>
    <w:rsid w:val="00A648F2"/>
    <w:rsid w:val="00A65C98"/>
    <w:rsid w:val="00A6630B"/>
    <w:rsid w:val="00A67A2E"/>
    <w:rsid w:val="00A67A8E"/>
    <w:rsid w:val="00A67DED"/>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2F10"/>
    <w:rsid w:val="00A83213"/>
    <w:rsid w:val="00A83430"/>
    <w:rsid w:val="00A8389D"/>
    <w:rsid w:val="00A83BF1"/>
    <w:rsid w:val="00A84298"/>
    <w:rsid w:val="00A842D6"/>
    <w:rsid w:val="00A844C6"/>
    <w:rsid w:val="00A849D1"/>
    <w:rsid w:val="00A8523D"/>
    <w:rsid w:val="00A853A6"/>
    <w:rsid w:val="00A905F1"/>
    <w:rsid w:val="00A90E27"/>
    <w:rsid w:val="00A90F65"/>
    <w:rsid w:val="00A911C3"/>
    <w:rsid w:val="00A91218"/>
    <w:rsid w:val="00A913B4"/>
    <w:rsid w:val="00A92A8E"/>
    <w:rsid w:val="00A92BA5"/>
    <w:rsid w:val="00A934FE"/>
    <w:rsid w:val="00A94B41"/>
    <w:rsid w:val="00A95933"/>
    <w:rsid w:val="00A959DF"/>
    <w:rsid w:val="00A96D7E"/>
    <w:rsid w:val="00A97060"/>
    <w:rsid w:val="00A9777F"/>
    <w:rsid w:val="00A97B8C"/>
    <w:rsid w:val="00A97BCD"/>
    <w:rsid w:val="00A97EB5"/>
    <w:rsid w:val="00AA0C88"/>
    <w:rsid w:val="00AA158B"/>
    <w:rsid w:val="00AA1D12"/>
    <w:rsid w:val="00AA216B"/>
    <w:rsid w:val="00AA2CD8"/>
    <w:rsid w:val="00AA30A2"/>
    <w:rsid w:val="00AA35D2"/>
    <w:rsid w:val="00AA37AC"/>
    <w:rsid w:val="00AA398E"/>
    <w:rsid w:val="00AA3CB1"/>
    <w:rsid w:val="00AA49B7"/>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67D"/>
    <w:rsid w:val="00AC3727"/>
    <w:rsid w:val="00AC4379"/>
    <w:rsid w:val="00AC4D53"/>
    <w:rsid w:val="00AC4E7D"/>
    <w:rsid w:val="00AC55D6"/>
    <w:rsid w:val="00AC6071"/>
    <w:rsid w:val="00AC62C7"/>
    <w:rsid w:val="00AC63F4"/>
    <w:rsid w:val="00AC7483"/>
    <w:rsid w:val="00AC755E"/>
    <w:rsid w:val="00AC7BC4"/>
    <w:rsid w:val="00AC7E9D"/>
    <w:rsid w:val="00AD067C"/>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3F9D"/>
    <w:rsid w:val="00AF4542"/>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939"/>
    <w:rsid w:val="00B14DDF"/>
    <w:rsid w:val="00B14E6C"/>
    <w:rsid w:val="00B14F21"/>
    <w:rsid w:val="00B151C6"/>
    <w:rsid w:val="00B15CC4"/>
    <w:rsid w:val="00B17793"/>
    <w:rsid w:val="00B17D79"/>
    <w:rsid w:val="00B17F5F"/>
    <w:rsid w:val="00B20057"/>
    <w:rsid w:val="00B208A5"/>
    <w:rsid w:val="00B209B5"/>
    <w:rsid w:val="00B20E2B"/>
    <w:rsid w:val="00B21CA7"/>
    <w:rsid w:val="00B22651"/>
    <w:rsid w:val="00B22CE2"/>
    <w:rsid w:val="00B23216"/>
    <w:rsid w:val="00B23960"/>
    <w:rsid w:val="00B23C80"/>
    <w:rsid w:val="00B24165"/>
    <w:rsid w:val="00B2484E"/>
    <w:rsid w:val="00B24C37"/>
    <w:rsid w:val="00B24F49"/>
    <w:rsid w:val="00B255A7"/>
    <w:rsid w:val="00B25A70"/>
    <w:rsid w:val="00B25CA2"/>
    <w:rsid w:val="00B25F9A"/>
    <w:rsid w:val="00B263DD"/>
    <w:rsid w:val="00B27080"/>
    <w:rsid w:val="00B272D3"/>
    <w:rsid w:val="00B31F85"/>
    <w:rsid w:val="00B32D9A"/>
    <w:rsid w:val="00B33105"/>
    <w:rsid w:val="00B336EB"/>
    <w:rsid w:val="00B3396B"/>
    <w:rsid w:val="00B33C09"/>
    <w:rsid w:val="00B34CA0"/>
    <w:rsid w:val="00B35846"/>
    <w:rsid w:val="00B35E23"/>
    <w:rsid w:val="00B36447"/>
    <w:rsid w:val="00B364F3"/>
    <w:rsid w:val="00B36993"/>
    <w:rsid w:val="00B40294"/>
    <w:rsid w:val="00B40D73"/>
    <w:rsid w:val="00B411BF"/>
    <w:rsid w:val="00B415C1"/>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AA8"/>
    <w:rsid w:val="00B61E14"/>
    <w:rsid w:val="00B63A2F"/>
    <w:rsid w:val="00B63CF7"/>
    <w:rsid w:val="00B64484"/>
    <w:rsid w:val="00B65956"/>
    <w:rsid w:val="00B65E54"/>
    <w:rsid w:val="00B660A0"/>
    <w:rsid w:val="00B67D22"/>
    <w:rsid w:val="00B70068"/>
    <w:rsid w:val="00B701B4"/>
    <w:rsid w:val="00B70288"/>
    <w:rsid w:val="00B7049B"/>
    <w:rsid w:val="00B70EDB"/>
    <w:rsid w:val="00B71A5D"/>
    <w:rsid w:val="00B71F17"/>
    <w:rsid w:val="00B72444"/>
    <w:rsid w:val="00B7260F"/>
    <w:rsid w:val="00B737C7"/>
    <w:rsid w:val="00B74A0D"/>
    <w:rsid w:val="00B74FBD"/>
    <w:rsid w:val="00B75180"/>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C05"/>
    <w:rsid w:val="00B83DF6"/>
    <w:rsid w:val="00B83FEF"/>
    <w:rsid w:val="00B84F7F"/>
    <w:rsid w:val="00B8620A"/>
    <w:rsid w:val="00B86DBB"/>
    <w:rsid w:val="00B86FC3"/>
    <w:rsid w:val="00B906D0"/>
    <w:rsid w:val="00B9086A"/>
    <w:rsid w:val="00B9171E"/>
    <w:rsid w:val="00B91DBA"/>
    <w:rsid w:val="00B92037"/>
    <w:rsid w:val="00B93093"/>
    <w:rsid w:val="00B93392"/>
    <w:rsid w:val="00B93412"/>
    <w:rsid w:val="00B93453"/>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74"/>
    <w:rsid w:val="00BA68C1"/>
    <w:rsid w:val="00BA6E74"/>
    <w:rsid w:val="00BA715B"/>
    <w:rsid w:val="00BA79BC"/>
    <w:rsid w:val="00BA7EB0"/>
    <w:rsid w:val="00BB022B"/>
    <w:rsid w:val="00BB0528"/>
    <w:rsid w:val="00BB07FA"/>
    <w:rsid w:val="00BB1D67"/>
    <w:rsid w:val="00BB214E"/>
    <w:rsid w:val="00BB23BD"/>
    <w:rsid w:val="00BB301E"/>
    <w:rsid w:val="00BB3F4C"/>
    <w:rsid w:val="00BB5260"/>
    <w:rsid w:val="00BB5FEA"/>
    <w:rsid w:val="00BB724B"/>
    <w:rsid w:val="00BB72E6"/>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87"/>
    <w:rsid w:val="00BD0FC4"/>
    <w:rsid w:val="00BD1151"/>
    <w:rsid w:val="00BD13D0"/>
    <w:rsid w:val="00BD140B"/>
    <w:rsid w:val="00BD2A08"/>
    <w:rsid w:val="00BD2A23"/>
    <w:rsid w:val="00BD2FB1"/>
    <w:rsid w:val="00BD3636"/>
    <w:rsid w:val="00BD386B"/>
    <w:rsid w:val="00BD3C69"/>
    <w:rsid w:val="00BD3D7A"/>
    <w:rsid w:val="00BD471D"/>
    <w:rsid w:val="00BD567C"/>
    <w:rsid w:val="00BD5A65"/>
    <w:rsid w:val="00BD689C"/>
    <w:rsid w:val="00BD68BE"/>
    <w:rsid w:val="00BD7F9E"/>
    <w:rsid w:val="00BE09DC"/>
    <w:rsid w:val="00BE0D74"/>
    <w:rsid w:val="00BE1378"/>
    <w:rsid w:val="00BE1A06"/>
    <w:rsid w:val="00BE20F7"/>
    <w:rsid w:val="00BE2BB7"/>
    <w:rsid w:val="00BE3FE8"/>
    <w:rsid w:val="00BE40F3"/>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60E3"/>
    <w:rsid w:val="00BF67D2"/>
    <w:rsid w:val="00BF6ECD"/>
    <w:rsid w:val="00BF70A1"/>
    <w:rsid w:val="00BF752F"/>
    <w:rsid w:val="00BF7D43"/>
    <w:rsid w:val="00C00B95"/>
    <w:rsid w:val="00C00D06"/>
    <w:rsid w:val="00C00D60"/>
    <w:rsid w:val="00C013A3"/>
    <w:rsid w:val="00C01B4D"/>
    <w:rsid w:val="00C02C93"/>
    <w:rsid w:val="00C0409F"/>
    <w:rsid w:val="00C045D1"/>
    <w:rsid w:val="00C04D46"/>
    <w:rsid w:val="00C050A5"/>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88F"/>
    <w:rsid w:val="00C219B3"/>
    <w:rsid w:val="00C22495"/>
    <w:rsid w:val="00C232DD"/>
    <w:rsid w:val="00C24018"/>
    <w:rsid w:val="00C2423A"/>
    <w:rsid w:val="00C2448C"/>
    <w:rsid w:val="00C24DDC"/>
    <w:rsid w:val="00C24EE5"/>
    <w:rsid w:val="00C259E3"/>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751"/>
    <w:rsid w:val="00C34C05"/>
    <w:rsid w:val="00C3566B"/>
    <w:rsid w:val="00C35B23"/>
    <w:rsid w:val="00C35BE3"/>
    <w:rsid w:val="00C36064"/>
    <w:rsid w:val="00C36BFA"/>
    <w:rsid w:val="00C37050"/>
    <w:rsid w:val="00C37D75"/>
    <w:rsid w:val="00C4018E"/>
    <w:rsid w:val="00C40FA9"/>
    <w:rsid w:val="00C41332"/>
    <w:rsid w:val="00C419A3"/>
    <w:rsid w:val="00C41B56"/>
    <w:rsid w:val="00C41D2B"/>
    <w:rsid w:val="00C42A8C"/>
    <w:rsid w:val="00C444D9"/>
    <w:rsid w:val="00C44500"/>
    <w:rsid w:val="00C447FB"/>
    <w:rsid w:val="00C45B4A"/>
    <w:rsid w:val="00C460CA"/>
    <w:rsid w:val="00C46896"/>
    <w:rsid w:val="00C479D8"/>
    <w:rsid w:val="00C47AE8"/>
    <w:rsid w:val="00C50066"/>
    <w:rsid w:val="00C5017F"/>
    <w:rsid w:val="00C51B51"/>
    <w:rsid w:val="00C51F1A"/>
    <w:rsid w:val="00C522F8"/>
    <w:rsid w:val="00C5257E"/>
    <w:rsid w:val="00C52BD9"/>
    <w:rsid w:val="00C52FE0"/>
    <w:rsid w:val="00C5337B"/>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AB"/>
    <w:rsid w:val="00C64849"/>
    <w:rsid w:val="00C65F58"/>
    <w:rsid w:val="00C66571"/>
    <w:rsid w:val="00C667F6"/>
    <w:rsid w:val="00C66941"/>
    <w:rsid w:val="00C66B7F"/>
    <w:rsid w:val="00C66C4B"/>
    <w:rsid w:val="00C66E0C"/>
    <w:rsid w:val="00C67420"/>
    <w:rsid w:val="00C679BA"/>
    <w:rsid w:val="00C70551"/>
    <w:rsid w:val="00C71CB1"/>
    <w:rsid w:val="00C7296E"/>
    <w:rsid w:val="00C72AD3"/>
    <w:rsid w:val="00C7306F"/>
    <w:rsid w:val="00C73242"/>
    <w:rsid w:val="00C7357D"/>
    <w:rsid w:val="00C741B5"/>
    <w:rsid w:val="00C75004"/>
    <w:rsid w:val="00C755E8"/>
    <w:rsid w:val="00C75970"/>
    <w:rsid w:val="00C75A42"/>
    <w:rsid w:val="00C75C9D"/>
    <w:rsid w:val="00C77113"/>
    <w:rsid w:val="00C811D4"/>
    <w:rsid w:val="00C8128C"/>
    <w:rsid w:val="00C8198E"/>
    <w:rsid w:val="00C82C71"/>
    <w:rsid w:val="00C82E5F"/>
    <w:rsid w:val="00C83234"/>
    <w:rsid w:val="00C8338A"/>
    <w:rsid w:val="00C84103"/>
    <w:rsid w:val="00C8567F"/>
    <w:rsid w:val="00C8572A"/>
    <w:rsid w:val="00C85BCA"/>
    <w:rsid w:val="00C8650D"/>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730"/>
    <w:rsid w:val="00C95962"/>
    <w:rsid w:val="00C96FBB"/>
    <w:rsid w:val="00C96FE0"/>
    <w:rsid w:val="00C97A6E"/>
    <w:rsid w:val="00C97AF1"/>
    <w:rsid w:val="00CA04E7"/>
    <w:rsid w:val="00CA077D"/>
    <w:rsid w:val="00CA09AA"/>
    <w:rsid w:val="00CA0BA6"/>
    <w:rsid w:val="00CA0CF9"/>
    <w:rsid w:val="00CA237B"/>
    <w:rsid w:val="00CA284C"/>
    <w:rsid w:val="00CA2919"/>
    <w:rsid w:val="00CA2C56"/>
    <w:rsid w:val="00CA3315"/>
    <w:rsid w:val="00CA5DA1"/>
    <w:rsid w:val="00CA60CC"/>
    <w:rsid w:val="00CA68EC"/>
    <w:rsid w:val="00CA7692"/>
    <w:rsid w:val="00CA7769"/>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2CF1"/>
    <w:rsid w:val="00CC3929"/>
    <w:rsid w:val="00CC4072"/>
    <w:rsid w:val="00CC5048"/>
    <w:rsid w:val="00CC5A8D"/>
    <w:rsid w:val="00CC606C"/>
    <w:rsid w:val="00CC6B47"/>
    <w:rsid w:val="00CC71EE"/>
    <w:rsid w:val="00CC7D29"/>
    <w:rsid w:val="00CD06F6"/>
    <w:rsid w:val="00CD084C"/>
    <w:rsid w:val="00CD0974"/>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3B6"/>
    <w:rsid w:val="00CE05F2"/>
    <w:rsid w:val="00CE078A"/>
    <w:rsid w:val="00CE0EF9"/>
    <w:rsid w:val="00CE1225"/>
    <w:rsid w:val="00CE18BC"/>
    <w:rsid w:val="00CE22D6"/>
    <w:rsid w:val="00CE2806"/>
    <w:rsid w:val="00CE3257"/>
    <w:rsid w:val="00CE3684"/>
    <w:rsid w:val="00CE420D"/>
    <w:rsid w:val="00CE42DF"/>
    <w:rsid w:val="00CE4CEC"/>
    <w:rsid w:val="00CE51FB"/>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557C"/>
    <w:rsid w:val="00CF6AF3"/>
    <w:rsid w:val="00CF75C7"/>
    <w:rsid w:val="00D014A9"/>
    <w:rsid w:val="00D017EE"/>
    <w:rsid w:val="00D02369"/>
    <w:rsid w:val="00D02621"/>
    <w:rsid w:val="00D02AC8"/>
    <w:rsid w:val="00D02C36"/>
    <w:rsid w:val="00D03684"/>
    <w:rsid w:val="00D038A2"/>
    <w:rsid w:val="00D03FC3"/>
    <w:rsid w:val="00D04FC8"/>
    <w:rsid w:val="00D05BC3"/>
    <w:rsid w:val="00D05FD4"/>
    <w:rsid w:val="00D06088"/>
    <w:rsid w:val="00D065A5"/>
    <w:rsid w:val="00D0675C"/>
    <w:rsid w:val="00D06800"/>
    <w:rsid w:val="00D06BB8"/>
    <w:rsid w:val="00D06EF9"/>
    <w:rsid w:val="00D0798F"/>
    <w:rsid w:val="00D07A46"/>
    <w:rsid w:val="00D07ADD"/>
    <w:rsid w:val="00D10199"/>
    <w:rsid w:val="00D10FB7"/>
    <w:rsid w:val="00D11683"/>
    <w:rsid w:val="00D11873"/>
    <w:rsid w:val="00D12BDB"/>
    <w:rsid w:val="00D13880"/>
    <w:rsid w:val="00D14204"/>
    <w:rsid w:val="00D14F37"/>
    <w:rsid w:val="00D1624D"/>
    <w:rsid w:val="00D164BF"/>
    <w:rsid w:val="00D16A3F"/>
    <w:rsid w:val="00D20083"/>
    <w:rsid w:val="00D20E2C"/>
    <w:rsid w:val="00D217CE"/>
    <w:rsid w:val="00D22050"/>
    <w:rsid w:val="00D22D38"/>
    <w:rsid w:val="00D22EE4"/>
    <w:rsid w:val="00D231AF"/>
    <w:rsid w:val="00D23556"/>
    <w:rsid w:val="00D24DBB"/>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1284"/>
    <w:rsid w:val="00D422E4"/>
    <w:rsid w:val="00D423C9"/>
    <w:rsid w:val="00D429B7"/>
    <w:rsid w:val="00D4357E"/>
    <w:rsid w:val="00D44A5C"/>
    <w:rsid w:val="00D44B18"/>
    <w:rsid w:val="00D45E78"/>
    <w:rsid w:val="00D4611C"/>
    <w:rsid w:val="00D46228"/>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669"/>
    <w:rsid w:val="00D60908"/>
    <w:rsid w:val="00D60932"/>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635"/>
    <w:rsid w:val="00D74977"/>
    <w:rsid w:val="00D75843"/>
    <w:rsid w:val="00D75999"/>
    <w:rsid w:val="00D76E83"/>
    <w:rsid w:val="00D8036A"/>
    <w:rsid w:val="00D81307"/>
    <w:rsid w:val="00D820F3"/>
    <w:rsid w:val="00D822CA"/>
    <w:rsid w:val="00D84268"/>
    <w:rsid w:val="00D84515"/>
    <w:rsid w:val="00D84824"/>
    <w:rsid w:val="00D84F73"/>
    <w:rsid w:val="00D8666C"/>
    <w:rsid w:val="00D86B3B"/>
    <w:rsid w:val="00D876BB"/>
    <w:rsid w:val="00D8778A"/>
    <w:rsid w:val="00D87E21"/>
    <w:rsid w:val="00D87E48"/>
    <w:rsid w:val="00D90446"/>
    <w:rsid w:val="00D90D31"/>
    <w:rsid w:val="00D9120D"/>
    <w:rsid w:val="00D912DF"/>
    <w:rsid w:val="00D92265"/>
    <w:rsid w:val="00D9230B"/>
    <w:rsid w:val="00D92DC2"/>
    <w:rsid w:val="00D92F6C"/>
    <w:rsid w:val="00D93307"/>
    <w:rsid w:val="00D93946"/>
    <w:rsid w:val="00D93FFD"/>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1E0F"/>
    <w:rsid w:val="00DA2046"/>
    <w:rsid w:val="00DA2BCC"/>
    <w:rsid w:val="00DA30FB"/>
    <w:rsid w:val="00DA3F00"/>
    <w:rsid w:val="00DA631B"/>
    <w:rsid w:val="00DA6B8E"/>
    <w:rsid w:val="00DA7074"/>
    <w:rsid w:val="00DA727D"/>
    <w:rsid w:val="00DA773F"/>
    <w:rsid w:val="00DA7BC7"/>
    <w:rsid w:val="00DB0564"/>
    <w:rsid w:val="00DB1382"/>
    <w:rsid w:val="00DB1539"/>
    <w:rsid w:val="00DB2014"/>
    <w:rsid w:val="00DB21E6"/>
    <w:rsid w:val="00DB220E"/>
    <w:rsid w:val="00DB2369"/>
    <w:rsid w:val="00DB2559"/>
    <w:rsid w:val="00DB272C"/>
    <w:rsid w:val="00DB35C7"/>
    <w:rsid w:val="00DB39DE"/>
    <w:rsid w:val="00DB405C"/>
    <w:rsid w:val="00DB4322"/>
    <w:rsid w:val="00DB4699"/>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4A29"/>
    <w:rsid w:val="00DC4B4C"/>
    <w:rsid w:val="00DC4E8D"/>
    <w:rsid w:val="00DC54B4"/>
    <w:rsid w:val="00DC5A5E"/>
    <w:rsid w:val="00DC5C23"/>
    <w:rsid w:val="00DC60E1"/>
    <w:rsid w:val="00DC6A94"/>
    <w:rsid w:val="00DC76BA"/>
    <w:rsid w:val="00DD132F"/>
    <w:rsid w:val="00DD1521"/>
    <w:rsid w:val="00DD1C2F"/>
    <w:rsid w:val="00DD1ED7"/>
    <w:rsid w:val="00DD242B"/>
    <w:rsid w:val="00DD2C54"/>
    <w:rsid w:val="00DD3430"/>
    <w:rsid w:val="00DD35A0"/>
    <w:rsid w:val="00DD6396"/>
    <w:rsid w:val="00DD6C70"/>
    <w:rsid w:val="00DD6E8E"/>
    <w:rsid w:val="00DD70C8"/>
    <w:rsid w:val="00DD7F36"/>
    <w:rsid w:val="00DE0C03"/>
    <w:rsid w:val="00DE21CF"/>
    <w:rsid w:val="00DE273A"/>
    <w:rsid w:val="00DE3E7C"/>
    <w:rsid w:val="00DE4664"/>
    <w:rsid w:val="00DE5335"/>
    <w:rsid w:val="00DE6DAE"/>
    <w:rsid w:val="00DE7524"/>
    <w:rsid w:val="00DF02EC"/>
    <w:rsid w:val="00DF098C"/>
    <w:rsid w:val="00DF1249"/>
    <w:rsid w:val="00DF24B9"/>
    <w:rsid w:val="00DF2DA0"/>
    <w:rsid w:val="00DF32AF"/>
    <w:rsid w:val="00DF3E4D"/>
    <w:rsid w:val="00DF42F3"/>
    <w:rsid w:val="00DF46CF"/>
    <w:rsid w:val="00DF4D70"/>
    <w:rsid w:val="00DF4F19"/>
    <w:rsid w:val="00DF5270"/>
    <w:rsid w:val="00DF5374"/>
    <w:rsid w:val="00DF5D97"/>
    <w:rsid w:val="00DF621B"/>
    <w:rsid w:val="00DF6B34"/>
    <w:rsid w:val="00DF6B69"/>
    <w:rsid w:val="00E00C18"/>
    <w:rsid w:val="00E012D8"/>
    <w:rsid w:val="00E0160D"/>
    <w:rsid w:val="00E0175D"/>
    <w:rsid w:val="00E01843"/>
    <w:rsid w:val="00E028E6"/>
    <w:rsid w:val="00E0293F"/>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2C4F"/>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22"/>
    <w:rsid w:val="00E222AC"/>
    <w:rsid w:val="00E224C9"/>
    <w:rsid w:val="00E229F7"/>
    <w:rsid w:val="00E22A2D"/>
    <w:rsid w:val="00E22EE3"/>
    <w:rsid w:val="00E23416"/>
    <w:rsid w:val="00E2391F"/>
    <w:rsid w:val="00E242E6"/>
    <w:rsid w:val="00E24E3D"/>
    <w:rsid w:val="00E250DB"/>
    <w:rsid w:val="00E2596F"/>
    <w:rsid w:val="00E263E4"/>
    <w:rsid w:val="00E271F0"/>
    <w:rsid w:val="00E30155"/>
    <w:rsid w:val="00E304DE"/>
    <w:rsid w:val="00E3069F"/>
    <w:rsid w:val="00E306A2"/>
    <w:rsid w:val="00E30967"/>
    <w:rsid w:val="00E3116C"/>
    <w:rsid w:val="00E31521"/>
    <w:rsid w:val="00E316C4"/>
    <w:rsid w:val="00E32964"/>
    <w:rsid w:val="00E32E0E"/>
    <w:rsid w:val="00E33222"/>
    <w:rsid w:val="00E33802"/>
    <w:rsid w:val="00E33814"/>
    <w:rsid w:val="00E33D97"/>
    <w:rsid w:val="00E3582D"/>
    <w:rsid w:val="00E35834"/>
    <w:rsid w:val="00E35AC6"/>
    <w:rsid w:val="00E35F47"/>
    <w:rsid w:val="00E36306"/>
    <w:rsid w:val="00E36C4E"/>
    <w:rsid w:val="00E377BF"/>
    <w:rsid w:val="00E379BC"/>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471"/>
    <w:rsid w:val="00E52F76"/>
    <w:rsid w:val="00E5413F"/>
    <w:rsid w:val="00E541D0"/>
    <w:rsid w:val="00E543CA"/>
    <w:rsid w:val="00E54EC5"/>
    <w:rsid w:val="00E55335"/>
    <w:rsid w:val="00E55D2A"/>
    <w:rsid w:val="00E57FA4"/>
    <w:rsid w:val="00E60ADA"/>
    <w:rsid w:val="00E61C29"/>
    <w:rsid w:val="00E624D8"/>
    <w:rsid w:val="00E63DB3"/>
    <w:rsid w:val="00E63F2E"/>
    <w:rsid w:val="00E645DC"/>
    <w:rsid w:val="00E649A5"/>
    <w:rsid w:val="00E6523D"/>
    <w:rsid w:val="00E65967"/>
    <w:rsid w:val="00E65EF0"/>
    <w:rsid w:val="00E668E2"/>
    <w:rsid w:val="00E6767F"/>
    <w:rsid w:val="00E67F22"/>
    <w:rsid w:val="00E7048B"/>
    <w:rsid w:val="00E705E5"/>
    <w:rsid w:val="00E70B0C"/>
    <w:rsid w:val="00E713AC"/>
    <w:rsid w:val="00E71EFF"/>
    <w:rsid w:val="00E72246"/>
    <w:rsid w:val="00E722AC"/>
    <w:rsid w:val="00E723D3"/>
    <w:rsid w:val="00E725B6"/>
    <w:rsid w:val="00E7370D"/>
    <w:rsid w:val="00E73758"/>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551"/>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20F1"/>
    <w:rsid w:val="00EA2730"/>
    <w:rsid w:val="00EA42BA"/>
    <w:rsid w:val="00EA4F96"/>
    <w:rsid w:val="00EA531A"/>
    <w:rsid w:val="00EA54BC"/>
    <w:rsid w:val="00EA589B"/>
    <w:rsid w:val="00EA7499"/>
    <w:rsid w:val="00EA74E3"/>
    <w:rsid w:val="00EA7744"/>
    <w:rsid w:val="00EB178A"/>
    <w:rsid w:val="00EB2435"/>
    <w:rsid w:val="00EB2A33"/>
    <w:rsid w:val="00EB3027"/>
    <w:rsid w:val="00EB306C"/>
    <w:rsid w:val="00EB313A"/>
    <w:rsid w:val="00EB3495"/>
    <w:rsid w:val="00EB534C"/>
    <w:rsid w:val="00EB5E7D"/>
    <w:rsid w:val="00EB688D"/>
    <w:rsid w:val="00EB7124"/>
    <w:rsid w:val="00EB74DD"/>
    <w:rsid w:val="00EB7E4D"/>
    <w:rsid w:val="00EC0B57"/>
    <w:rsid w:val="00EC12C0"/>
    <w:rsid w:val="00EC142C"/>
    <w:rsid w:val="00EC16D0"/>
    <w:rsid w:val="00EC2B11"/>
    <w:rsid w:val="00EC2FEB"/>
    <w:rsid w:val="00EC30C9"/>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891"/>
    <w:rsid w:val="00F046B1"/>
    <w:rsid w:val="00F04932"/>
    <w:rsid w:val="00F04CF6"/>
    <w:rsid w:val="00F04ED5"/>
    <w:rsid w:val="00F05BA0"/>
    <w:rsid w:val="00F05EED"/>
    <w:rsid w:val="00F062B0"/>
    <w:rsid w:val="00F06F02"/>
    <w:rsid w:val="00F077C0"/>
    <w:rsid w:val="00F0783A"/>
    <w:rsid w:val="00F07C4E"/>
    <w:rsid w:val="00F11C49"/>
    <w:rsid w:val="00F14351"/>
    <w:rsid w:val="00F154C5"/>
    <w:rsid w:val="00F15744"/>
    <w:rsid w:val="00F15A4F"/>
    <w:rsid w:val="00F16565"/>
    <w:rsid w:val="00F165FE"/>
    <w:rsid w:val="00F16BB1"/>
    <w:rsid w:val="00F16C78"/>
    <w:rsid w:val="00F20046"/>
    <w:rsid w:val="00F206FE"/>
    <w:rsid w:val="00F209E0"/>
    <w:rsid w:val="00F20EE3"/>
    <w:rsid w:val="00F21048"/>
    <w:rsid w:val="00F2112D"/>
    <w:rsid w:val="00F21654"/>
    <w:rsid w:val="00F218EF"/>
    <w:rsid w:val="00F21B93"/>
    <w:rsid w:val="00F21EC3"/>
    <w:rsid w:val="00F23178"/>
    <w:rsid w:val="00F2357F"/>
    <w:rsid w:val="00F24A57"/>
    <w:rsid w:val="00F24F4D"/>
    <w:rsid w:val="00F25139"/>
    <w:rsid w:val="00F25166"/>
    <w:rsid w:val="00F2617C"/>
    <w:rsid w:val="00F2643A"/>
    <w:rsid w:val="00F2699C"/>
    <w:rsid w:val="00F269CD"/>
    <w:rsid w:val="00F26CE7"/>
    <w:rsid w:val="00F26FA1"/>
    <w:rsid w:val="00F276A4"/>
    <w:rsid w:val="00F277A8"/>
    <w:rsid w:val="00F2795E"/>
    <w:rsid w:val="00F27C52"/>
    <w:rsid w:val="00F3002F"/>
    <w:rsid w:val="00F301EB"/>
    <w:rsid w:val="00F304B5"/>
    <w:rsid w:val="00F30894"/>
    <w:rsid w:val="00F31234"/>
    <w:rsid w:val="00F3250F"/>
    <w:rsid w:val="00F328BD"/>
    <w:rsid w:val="00F33655"/>
    <w:rsid w:val="00F3383E"/>
    <w:rsid w:val="00F338BC"/>
    <w:rsid w:val="00F346BC"/>
    <w:rsid w:val="00F3471B"/>
    <w:rsid w:val="00F3521B"/>
    <w:rsid w:val="00F35561"/>
    <w:rsid w:val="00F35865"/>
    <w:rsid w:val="00F366B0"/>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5BAE"/>
    <w:rsid w:val="00F46183"/>
    <w:rsid w:val="00F463BD"/>
    <w:rsid w:val="00F46A01"/>
    <w:rsid w:val="00F47AFE"/>
    <w:rsid w:val="00F47DF9"/>
    <w:rsid w:val="00F50020"/>
    <w:rsid w:val="00F50849"/>
    <w:rsid w:val="00F50F51"/>
    <w:rsid w:val="00F51318"/>
    <w:rsid w:val="00F51929"/>
    <w:rsid w:val="00F523A6"/>
    <w:rsid w:val="00F52631"/>
    <w:rsid w:val="00F52A4B"/>
    <w:rsid w:val="00F533DB"/>
    <w:rsid w:val="00F5376A"/>
    <w:rsid w:val="00F53E2D"/>
    <w:rsid w:val="00F542D8"/>
    <w:rsid w:val="00F548C8"/>
    <w:rsid w:val="00F54986"/>
    <w:rsid w:val="00F55A3B"/>
    <w:rsid w:val="00F563B2"/>
    <w:rsid w:val="00F56848"/>
    <w:rsid w:val="00F56FA3"/>
    <w:rsid w:val="00F5765A"/>
    <w:rsid w:val="00F57A26"/>
    <w:rsid w:val="00F57A55"/>
    <w:rsid w:val="00F57C72"/>
    <w:rsid w:val="00F60802"/>
    <w:rsid w:val="00F61564"/>
    <w:rsid w:val="00F6161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912"/>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366"/>
    <w:rsid w:val="00F915AB"/>
    <w:rsid w:val="00F918AE"/>
    <w:rsid w:val="00F91DAC"/>
    <w:rsid w:val="00F92174"/>
    <w:rsid w:val="00F9419F"/>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F"/>
    <w:rsid w:val="00FA1E61"/>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52FD"/>
    <w:rsid w:val="00FB5689"/>
    <w:rsid w:val="00FB6D13"/>
    <w:rsid w:val="00FB7340"/>
    <w:rsid w:val="00FB7724"/>
    <w:rsid w:val="00FB7B15"/>
    <w:rsid w:val="00FB7B5D"/>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3822"/>
    <w:rsid w:val="00FD45CD"/>
    <w:rsid w:val="00FD4CC0"/>
    <w:rsid w:val="00FD5AFC"/>
    <w:rsid w:val="00FD5B11"/>
    <w:rsid w:val="00FD618D"/>
    <w:rsid w:val="00FD6A3D"/>
    <w:rsid w:val="00FD6BB9"/>
    <w:rsid w:val="00FD6F42"/>
    <w:rsid w:val="00FD7313"/>
    <w:rsid w:val="00FE098B"/>
    <w:rsid w:val="00FE0C6B"/>
    <w:rsid w:val="00FE22FE"/>
    <w:rsid w:val="00FE23E2"/>
    <w:rsid w:val="00FE3DA5"/>
    <w:rsid w:val="00FE460F"/>
    <w:rsid w:val="00FE4930"/>
    <w:rsid w:val="00FE4E61"/>
    <w:rsid w:val="00FE5B8D"/>
    <w:rsid w:val="00FE6782"/>
    <w:rsid w:val="00FE6FE5"/>
    <w:rsid w:val="00FE74FC"/>
    <w:rsid w:val="00FE761D"/>
    <w:rsid w:val="00FE76FA"/>
    <w:rsid w:val="00FE7A0A"/>
    <w:rsid w:val="00FE7A4E"/>
    <w:rsid w:val="00FE7B7C"/>
    <w:rsid w:val="00FF01C5"/>
    <w:rsid w:val="00FF07F7"/>
    <w:rsid w:val="00FF1716"/>
    <w:rsid w:val="00FF2A88"/>
    <w:rsid w:val="00FF30FE"/>
    <w:rsid w:val="00FF4FC8"/>
    <w:rsid w:val="00FF51D0"/>
    <w:rsid w:val="00FF52CC"/>
    <w:rsid w:val="00FF5593"/>
    <w:rsid w:val="00FF5929"/>
    <w:rsid w:val="00FF6227"/>
    <w:rsid w:val="00FF62EF"/>
    <w:rsid w:val="00FF68C4"/>
    <w:rsid w:val="00FF7E8A"/>
    <w:rsid w:val="151B8152"/>
    <w:rsid w:val="16174075"/>
    <w:rsid w:val="26689C63"/>
    <w:rsid w:val="5C3AAA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ListParagraph"/>
    <w:link w:val="bulletChar"/>
    <w:qFormat/>
    <w:rsid w:val="00587E54"/>
    <w:pPr>
      <w:numPr>
        <w:numId w:val="9"/>
      </w:numPr>
    </w:pPr>
    <w:rPr>
      <w:sz w:val="20"/>
      <w:lang w:val="en-GB"/>
    </w:rPr>
  </w:style>
  <w:style w:type="character" w:customStyle="1" w:styleId="bulletChar">
    <w:name w:val="bullet Char"/>
    <w:basedOn w:val="B10"/>
    <w:link w:val="bullet"/>
    <w:rsid w:val="00587E54"/>
    <w:rPr>
      <w:rFonts w:ascii="Times New Roman" w:eastAsia="Times New Roman" w:hAnsi="Times New Roman"/>
      <w:szCs w:val="24"/>
      <w:lang w:val="en-GB" w:eastAsia="en-US"/>
    </w:rPr>
  </w:style>
  <w:style w:type="character" w:customStyle="1" w:styleId="ListParagraphChar">
    <w:name w:val="List Paragraph Char"/>
    <w:link w:val="ListParagraph"/>
    <w:uiPriority w:val="34"/>
    <w:rsid w:val="004A70E3"/>
    <w:rPr>
      <w:rFonts w:ascii="Times New Roman" w:eastAsia="Times New Roman" w:hAnsi="Times New Roman"/>
      <w:sz w:val="24"/>
      <w:szCs w:val="24"/>
      <w:lang w:eastAsia="en-US"/>
    </w:rPr>
  </w:style>
  <w:style w:type="paragraph" w:customStyle="1" w:styleId="References">
    <w:name w:val="References"/>
    <w:basedOn w:val="Normal"/>
    <w:rsid w:val="00F9419F"/>
    <w:pPr>
      <w:numPr>
        <w:numId w:val="3"/>
      </w:numPr>
      <w:overflowPunct/>
      <w:adjustRightInd/>
      <w:snapToGrid w:val="0"/>
      <w:spacing w:after="60"/>
      <w:jc w:val="both"/>
      <w:textAlignment w:val="auto"/>
    </w:pPr>
    <w:rPr>
      <w:szCs w:val="16"/>
    </w:rPr>
  </w:style>
  <w:style w:type="table" w:styleId="GridTable4-Accent1">
    <w:name w:val="Grid Table 4 Accent 1"/>
    <w:basedOn w:val="TableNormal"/>
    <w:uiPriority w:val="49"/>
    <w:rsid w:val="002F7D9F"/>
    <w:rPr>
      <w:rFonts w:asciiTheme="minorHAnsi" w:eastAsiaTheme="minorHAnsi" w:hAnsiTheme="minorHAnsi" w:cstheme="minorBidi"/>
      <w:sz w:val="22"/>
      <w:szCs w:val="22"/>
      <w:lang w:eastAsia="en-US"/>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432942554">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HR33RHYHUWRF-4-5398</_dlc_DocId>
    <_dlc_DocIdUrl xmlns="c06861ca-3f08-4d07-bff7-bb15bac121f4">
      <Url>https://projects.qualcomm.com/sites/pentari/_layouts/15/DocIdRedir.aspx?ID=HR33RHYHUWRF-4-5398</Url>
      <Description>HR33RHYHUWRF-4-5398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2.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3.xml><?xml version="1.0" encoding="utf-8"?>
<ds:datastoreItem xmlns:ds="http://schemas.openxmlformats.org/officeDocument/2006/customXml" ds:itemID="{5E45D529-5E1D-4284-8B80-40D45C2BFB73}">
  <ds:schemaRefs>
    <ds:schemaRef ds:uri="http://schemas.openxmlformats.org/package/2006/metadata/core-properties"/>
    <ds:schemaRef ds:uri="http://purl.org/dc/terms/"/>
    <ds:schemaRef ds:uri="c06861ca-3f08-4d07-bff7-bb15bac121f4"/>
    <ds:schemaRef ds:uri="http://schemas.microsoft.com/office/2006/documentManagement/types"/>
    <ds:schemaRef ds:uri="http://schemas.microsoft.com/office/2006/metadata/properties"/>
    <ds:schemaRef ds:uri="http://purl.org/dc/elements/1.1/"/>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5.xml><?xml version="1.0" encoding="utf-8"?>
<ds:datastoreItem xmlns:ds="http://schemas.openxmlformats.org/officeDocument/2006/customXml" ds:itemID="{DD1AAB5B-385C-4CFC-BBB2-B7B4BBA61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5CC33B8-1934-4F4E-B0F6-D28C0C2E6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3570</TotalTime>
  <Pages>5</Pages>
  <Words>2398</Words>
  <Characters>13673</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PDCCH structure</vt:lpstr>
    </vt:vector>
  </TitlesOfParts>
  <Company>Qualcomm Inc.</Company>
  <LinksUpToDate>false</LinksUpToDate>
  <CharactersWithSpaces>16039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PDCCH structure</dc:title>
  <dc:subject/>
  <dc:creator>Qualcomm Europe</dc:creator>
  <cp:keywords/>
  <cp:lastModifiedBy>Jing Sun</cp:lastModifiedBy>
  <cp:revision>18</cp:revision>
  <cp:lastPrinted>2010-10-04T23:31:00Z</cp:lastPrinted>
  <dcterms:created xsi:type="dcterms:W3CDTF">2017-06-17T05:03:00Z</dcterms:created>
  <dcterms:modified xsi:type="dcterms:W3CDTF">2017-08-10T20:34:00Z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3ee5d303-2880-486d-92be-9f4958a08479</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ies>
</file>